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8"/>
        <w:rPr/>
      </w:pPr>
      <w:r>
        <w:rPr/>
        <w:t>П О С Т А Н О В Л Е Н И Е       ПРОЕКТ</w:t>
      </w:r>
    </w:p>
    <w:p>
      <w:pPr>
        <w:pStyle w:val="Style2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rPr/>
      </w:pPr>
      <w:r>
        <w:rPr>
          <w:b w:val="false"/>
          <w:bCs w:val="false"/>
          <w:sz w:val="24"/>
          <w:szCs w:val="24"/>
        </w:rPr>
        <w:t>АДМИНИСТРАЦИИ ПЕТРОВСКОГО МУНИЦИПАЛЬНОГО ОКРУГА</w:t>
      </w:r>
    </w:p>
    <w:p>
      <w:pPr>
        <w:pStyle w:val="Style2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СТАВРОПОЛЬСКОГО КРАЯ</w:t>
      </w:r>
    </w:p>
    <w:p>
      <w:pPr>
        <w:pStyle w:val="Style2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336"/>
      </w:tblGrid>
      <w:tr>
        <w:trPr>
          <w:trHeight w:val="189" w:hRule="atLeast"/>
        </w:trPr>
        <w:tc>
          <w:tcPr>
            <w:tcW w:w="2849" w:type="dxa"/>
            <w:tcBorders/>
          </w:tcPr>
          <w:p>
            <w:pPr>
              <w:pStyle w:val="Style28"/>
              <w:snapToGrid w:val="false"/>
              <w:jc w:val="both"/>
              <w:rPr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b w:val="false"/>
                <w:bCs w:val="false"/>
                <w:sz w:val="24"/>
                <w:szCs w:val="24"/>
                <w:lang w:val="ru-RU" w:eastAsia="ru-RU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  <w:tcBorders/>
          </w:tcPr>
          <w:p>
            <w:pPr>
              <w:pStyle w:val="Style28"/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13 ноября 2020 г. № 1567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Об утверждении муниципальной программы Петровского городского округа Ставропольского края «Развитие транспортной системы и обеспечение безопасности дорожного движения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»</w:t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  <w:lang w:eastAsia="en-US"/>
        </w:rPr>
        <w:t>в редакции     от 10 января 2024 № 03</w:t>
      </w:r>
      <w:r>
        <w:rPr>
          <w:rFonts w:eastAsia="Calibri" w:cs="Times New Roman" w:ascii="Times New Roman" w:hAnsi="Times New Roman"/>
          <w:b w:val="false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  <w:lang w:eastAsia="en-US"/>
        </w:rPr>
        <w:t xml:space="preserve">(в редакции </w:t>
      </w:r>
      <w:r>
        <w:rPr>
          <w:rFonts w:eastAsia="Calibri" w:cs="Times New Roman" w:ascii="Times New Roman" w:hAnsi="Times New Roman"/>
          <w:b w:val="false"/>
          <w:sz w:val="28"/>
          <w:szCs w:val="28"/>
          <w:lang w:eastAsia="en-US"/>
        </w:rPr>
        <w:t>от 15 января 2024 г. № 05-р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  <w:lang w:eastAsia="en-US"/>
        </w:rPr>
        <w:t xml:space="preserve">), </w:t>
      </w:r>
      <w:r>
        <w:rPr>
          <w:rFonts w:cs="Times New Roman" w:ascii="Times New Roman" w:hAnsi="Times New Roman"/>
          <w:b w:val="false"/>
          <w:sz w:val="28"/>
          <w:szCs w:val="28"/>
        </w:rPr>
        <w:t>решением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 администрация Петровского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Петровского городского округа Ставропольского края от 13 ноября 2020 г. № 1567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Об утверждении муниципальной программы Петровского городского округа Ставропольского края «Развитие транспортной системы и обеспечение безопасности дорожного движения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  <w:lang w:eastAsia="en-US"/>
        </w:rPr>
        <w:t>в редакции от</w:t>
      </w:r>
      <w:r>
        <w:rPr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10 марта 2021 г. № 383,</w:t>
      </w:r>
      <w:r>
        <w:rPr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от 18 августа 2021 г. № 1332, от 14 марта 2022 г. № 357, от 04 августа 2022 г. № 1257, от 15 марта 2023 г. № 345, от 20 июля 2023 г. № 1148, от 28 ноября 2023 г. № 1999, от 26 декабря 2023 г. № 2287</w:t>
      </w:r>
      <w:r>
        <w:rPr>
          <w:rFonts w:cs="Times New Roman" w:ascii="Times New Roman" w:hAnsi="Times New Roman"/>
          <w:sz w:val="28"/>
          <w:szCs w:val="24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следующие изменения: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Заголовок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Об утверждении муниципальной программы Петровского муниципального округа Ставропольского края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Развитие транспортной системы и обеспечение безопасности дорожного движения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»</w:t>
      </w:r>
      <w:bookmarkStart w:id="0" w:name="_Hlk50558154"/>
      <w:bookmarkEnd w:id="0"/>
      <w:r>
        <w:rPr>
          <w:rFonts w:eastAsia="Calibri"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Преамбулу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в редакции от 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>10 января 2024 г. № 03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(в редакции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15 января 2024 г. № 05-р),</w:t>
      </w:r>
      <w:r>
        <w:rPr>
          <w:rFonts w:eastAsia="Calibri" w:cs="Times New Roman" w:ascii="Times New Roman" w:hAnsi="Times New Roman"/>
          <w:sz w:val="28"/>
          <w:lang w:eastAsia="en-US"/>
        </w:rPr>
        <w:t xml:space="preserve"> 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муниципального округа Ставропольского края» (в редакции от 13 октября 2023 г. № 547-р)». 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Пункт 1 изложить в следующей редакции: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«1.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Утвердить прилагаемую муниципальную программу Петровского муниципального округа Ставропольского края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Развитие транспортной системы и обеспечение безопасности дорожного движения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».».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Муниципальную программу Петровского городского округа Ставропольского края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Развитие транспортной системы и обеспечение безопасности дорожного движения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изложить в прилагаемой редакции.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 10 марта 2021 г. № 383 «О внесении изменений в муниципальную программу Петровского городского округа Ставропольского края «Развитие транспортной системы и обеспечение безопасности дорожного движения», утвержденную постановлением администрации Петровского городского округа Ставропольского края от 13 ноября 2020 года № 1567»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 18 августа 2021 г. № 1332 «О внесении изменений в муниципальную программу Петровского городского округа Ставропольского края «Развитие транспортной системы и обеспечение безопасности дорожного движения», утвержденную постановлением администрации Петровского городского округа Ставропольского края от 13 ноября 2020 года № 1567 (в редакции от 10 марта 2021 г. № 383)»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 14 марта 2022 г. № 357 «О внесении изменений в муниципальную программу Петровского городского округа Ставропольского края «Развитие транспортной системы и обеспечение безопасности дорожного движения», утвержденную постановлением администрации Петровского городского округа Ставропольского края от 13 ноября 2020 года № 1567»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 04 августа 2022 г. № 1257 «О внесении изменений в муниципальную программу Петровского городского округа Ставропольского края «Развитие транспортной системы и обеспечение безопасности дорожного движения», утвержденную постановлением администрации Петровского городского округа Ставропольского края от 13 ноября 2020 г. № 1567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hyperlink r:id="rId2">
        <w:r>
          <w:rPr>
            <w:rStyle w:val="-"/>
            <w:rFonts w:cs="Times New Roman" w:ascii="Times New Roman" w:hAnsi="Times New Roman"/>
            <w:bCs/>
            <w:color w:val="000000"/>
            <w:sz w:val="28"/>
            <w:szCs w:val="28"/>
            <w:u w:val="none"/>
            <w:shd w:fill="FFFFFF" w:val="clear"/>
          </w:rPr>
          <w:t>от 15 марта 2023 г. № 345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 «О внесении изменений в муниципальную программу Петровского городского округа Ставропольского края «Развитие транспортной системы и обеспечение безопасности дорожного движения», утвержденную постановлением администрации Петровского городского округа Ставропольского края от 13 ноября 2020 г. № 1567»;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hyperlink r:id="rId3">
        <w:r>
          <w:rPr>
            <w:rStyle w:val="-"/>
            <w:rFonts w:cs="Times New Roman" w:ascii="Times New Roman" w:hAnsi="Times New Roman"/>
            <w:bCs/>
            <w:color w:val="000000"/>
            <w:sz w:val="28"/>
            <w:szCs w:val="28"/>
            <w:u w:val="none"/>
          </w:rPr>
          <w:t>от 20 июля 2023 г. № 1148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 «О внесении изменений в муниципальную программу Петровского городского округа Ставропольского края «Развитие транспортной системы и обеспечение безопасности дорожного движения», утвержденную постановлением администрации Петровского городского округа Ставропольского края от 13 ноября 2020 г. № 1567»;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hyperlink r:id="rId4">
        <w:r>
          <w:rPr>
            <w:rStyle w:val="-"/>
            <w:rFonts w:cs="Times New Roman" w:ascii="Times New Roman" w:hAnsi="Times New Roman"/>
            <w:bCs/>
            <w:color w:val="000000"/>
            <w:sz w:val="28"/>
            <w:szCs w:val="28"/>
            <w:u w:val="none"/>
            <w:shd w:fill="FFFFFF" w:val="clear"/>
          </w:rPr>
          <w:t>от 28 ноября 2023 г. № 1999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 «О внесении изменений в муниципальную программу Петровского городского округа Ставропольского края «Развитие транспортной системы и обеспечение безопасности дорожного движения», утвержденную постановлением администрации Петровского городского округа Ставропольского края от 13 ноября 2020 г. № 1567»;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 26 декабря 2023 г. № 2287 «</w:t>
      </w:r>
      <w:r>
        <w:rPr>
          <w:rFonts w:cs="Times New Roman" w:ascii="Times New Roman" w:hAnsi="Times New Roman"/>
          <w:sz w:val="28"/>
          <w:szCs w:val="28"/>
          <w:lang w:eastAsia="en-US"/>
        </w:rPr>
        <w:t>О внесении изменений в муниципальную программу Петровского городского округа Ставропольского края «</w:t>
      </w:r>
      <w:r>
        <w:rPr>
          <w:rFonts w:cs="Times New Roman"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cs="Times New Roman" w:ascii="Times New Roman" w:hAnsi="Times New Roman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1567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». 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А.И., первого заместителя главы администрации – начальника финансового управления администрации Петровского муниципального округа Ставропольского края Сухомлинову В.П.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Настоящее постановление вступает в силу со дня опубликования в газете «Вестник Петровского муниципального округа».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Петровского</w:t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</w:p>
    <w:p>
      <w:pPr>
        <w:pStyle w:val="Normal"/>
        <w:autoSpaceDE w:val="false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Н.В.Конкина</w:t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160"/>
      </w:tblGrid>
      <w:tr>
        <w:trPr>
          <w:trHeight w:val="283" w:hRule="atLeast"/>
        </w:trPr>
        <w:tc>
          <w:tcPr>
            <w:tcW w:w="5353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60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Утверждена</w:t>
            </w:r>
          </w:p>
        </w:tc>
      </w:tr>
      <w:tr>
        <w:trPr>
          <w:trHeight w:val="969" w:hRule="atLeast"/>
        </w:trPr>
        <w:tc>
          <w:tcPr>
            <w:tcW w:w="5353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60" w:type="dxa"/>
            <w:tcBorders/>
          </w:tcPr>
          <w:p>
            <w:pPr>
              <w:pStyle w:val="Normal"/>
              <w:shd w:fill="FFFFFF" w:val="clear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 Ставропольского края               от 13 ноября 2020 г. № 1567         (в ред. от              </w:t>
            </w:r>
          </w:p>
        </w:tc>
      </w:tr>
    </w:tbl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Муниципальная программа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муниципального округа Ставропольского края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«Развитие транспортной системы и обеспечение безопасности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дорожного движения»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6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7089"/>
      </w:tblGrid>
      <w:tr>
        <w:trPr/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 </w:t>
            </w:r>
          </w:p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муниципальная программа Петровского муниципального округа Ставропольского края «Развитие транспортной системы и обеспечение безопасности дорожного движения» (далее - Программа)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хозяйства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администрации Петровского муниципального округа Ставропольского края (далее – управление муниципального хозяйства)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управление по делам территорий администрации Петровского муниципального округа Ставропольского края (далее – управление по делам территорий);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жители округа (по согласованию);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индивидуальные предприниматели, осуществляющие - перевозки по муниципальным маршрутам (далее – перевозчики) (по согласованию)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хозяйствующие субъекты (по согласованию)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инициативная группа численностью не менее пяти граждан, достигших шестнадцатилетнего возраста и проживающих на территории Петровского муниципального округа Ставропольского края (далее - инициативная группа граждан);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муниципальное бюджетное учреждение Петровского муниципального округа Ставропольского края «Коммунальное хозяйство» (далее – МБУ «Коммунальное хозяйство)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«</w:t>
            </w:r>
            <w:r>
              <w:rPr>
                <w:rFonts w:eastAsia="CourierNewPSMT" w:cs="Times New Roman" w:ascii="Times New Roman" w:hAnsi="Times New Roman"/>
                <w:sz w:val="28"/>
                <w:szCs w:val="28"/>
              </w:rPr>
              <w:t xml:space="preserve">Развитие улично-дорожной сети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 обеспечение безопасности дорожного движения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»;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общепрограммные мероприятия»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ourierNewPSMT" w:cs="Times New Roman" w:ascii="Times New Roman" w:hAnsi="Times New Roman"/>
                <w:sz w:val="28"/>
                <w:szCs w:val="28"/>
              </w:rPr>
              <w:t>- Комплексное развитие улично-дорожной сети и транспортной инфраструктуры, отвечающей интересам граждан и общества;</w:t>
            </w:r>
          </w:p>
          <w:p>
            <w:pPr>
              <w:pStyle w:val="Style33"/>
              <w:jc w:val="both"/>
              <w:rPr>
                <w:rFonts w:ascii="Times New Roman" w:hAnsi="Times New Roman" w:eastAsia="CourierNewPSMT" w:cs="Times New Roman"/>
                <w:color w:val="FF0000"/>
                <w:sz w:val="28"/>
                <w:szCs w:val="28"/>
              </w:rPr>
            </w:pPr>
            <w:r>
              <w:rPr>
                <w:rFonts w:eastAsia="CourierNewPSMT" w:cs="Times New Roman"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Индикаторы достижения целей Программы </w:t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протяженность автомобильных дорог общего пользования местного значения, находящихся в собственности Петровского муниципального округа, отвечающих нормативным требованиям;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реализации  Программы</w:t>
            </w:r>
          </w:p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2021 - 2026 годы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объем финансового обеспечения Программы составит 1608222,44 тыс. рублей, в том числе по источникам финансового обеспечения: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бюджет Ставропольского края (далее – краевой бюджет) – 1106671,35 тыс. рублей, в том числе по годам: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196242,83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331888,09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380773,22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2024 году – 9000,00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93862,21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94905,00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бюджет Петровского муниципального округа Ставропольского края (далее – бюджет округа) – 500041,88 тыс. рублей, в том числе по годам: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62625,88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69896,25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83165,85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в 2024 году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165945,37 тысяч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59166,39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59242,14 тысяч рублей.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налоговые расходы бюджета округа – 0,00 тыс. рублей, в том числе по годам: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2024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0,00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средства участников Программы – 1509,21 тыс. рублей, в том числе по годам: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322,82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736,07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2024 году – 450,32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0,00 тыс. рублей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0,00 тыс. рублей</w:t>
            </w:r>
          </w:p>
        </w:tc>
      </w:tr>
      <w:tr>
        <w:trPr>
          <w:trHeight w:val="1838" w:hRule="atLeast"/>
        </w:trPr>
        <w:tc>
          <w:tcPr>
            <w:tcW w:w="2373" w:type="dxa"/>
            <w:tcBorders/>
          </w:tcPr>
          <w:p>
            <w:pPr>
              <w:pStyle w:val="Style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7089" w:type="dxa"/>
            <w:tcBorders/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увеличение протяженности  автомобильных дорог общего пользования местного значения, находящихся в собственности Петровского муниципального округа, отвечающих нормативным требованиям до 522,2 км к 2026 году</w:t>
            </w:r>
          </w:p>
        </w:tc>
      </w:tr>
    </w:tbl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Приоритеты и цели реализуемой в Петровском муниципальном округе  Ставропольского края муниципальной политики в соответствующей сфере социально-экономического развития Петровского муниципального округа  Ставропольского края</w:t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сформирована исходя из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целей социально-экономического развития Петровского муниципального округа Ставропольского края и показателей их достижения в соответствии со </w:t>
      </w:r>
      <w:hyperlink r:id="rId5">
        <w:r>
          <w:rPr>
            <w:rStyle w:val="-"/>
            <w:rFonts w:ascii="Times New Roman" w:hAnsi="Times New Roman" w:cs="Times New Roman"/>
            <w:sz w:val="28"/>
            <w:sz w:val="28"/>
            <w:szCs w:val="28"/>
          </w:rPr>
          <w:t>Стратегией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социально-экономического развития Петровского муниципального округа Ставропольского края до 2035 года, прогнозами социально-экономического развития Петровского муниципального округа Ставропольского края на период до 2035 года,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 нормативными правовыми актами Российской Федерации, Ставропольского края, администрации Петровского муниципального округа Ставропольского края: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Порядок разработки, реализации и оценки эффективности муниципальных программ Петровского муниципального округа Ставропольского края, утвержденный постановлением администрации Петровского городского округа Ставропольского края от 11 апреля 2018 г.  № 528 (в редакции от 10 января 2024 № 03);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Методические указания по разработке и реализации муниципальных программ Петровского муниципального округа Ставропольского края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утвержденные распоряжением администрации Петровского городского округа Ставропольского края от 18 апреля 2018 г.  № 206-р (в редакции </w:t>
      </w:r>
      <w:r>
        <w:rPr>
          <w:rFonts w:cs="Times New Roman" w:ascii="Times New Roman" w:hAnsi="Times New Roman"/>
          <w:sz w:val="28"/>
          <w:szCs w:val="28"/>
        </w:rPr>
        <w:t>от 15 января 2024 г. № 05-р</w:t>
      </w:r>
      <w:r>
        <w:rPr>
          <w:rFonts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Приоритетами реализуемой муниципальной программы в области развития транспортной системы и повышения безопасности дорожного движения на территории Петровского муниципального округа Ставропольского края (далее – округ) является решение комплекса взаимосвязанных основных мероприятий и задач, существующих в настоящее время, которые позволят минимизировать социально-экономические потери от ДТП, улучшить бесперебойное функционирование  автомобильных дорог, повысить инвестиционную привлекательность округа, реализовать транзитный потенциал округа.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Программы является </w:t>
      </w:r>
      <w:r>
        <w:rPr>
          <w:rFonts w:eastAsia="CourierNewPSMT" w:cs="Times New Roman" w:ascii="Times New Roman" w:hAnsi="Times New Roman"/>
          <w:sz w:val="28"/>
          <w:szCs w:val="28"/>
        </w:rPr>
        <w:t>комплексное развитие улично-дорожной сети и транспортной инфраструктуры, отвечающей интересам граждан и общества.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ourierNewPSMT" w:cs="Times New Roman" w:ascii="Times New Roman" w:hAnsi="Times New Roman"/>
          <w:sz w:val="28"/>
          <w:szCs w:val="28"/>
        </w:rPr>
        <w:t xml:space="preserve">Для достижения цели Программы необходимо решить следующую задачу: 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</w:t>
      </w:r>
      <w:r>
        <w:rPr>
          <w:rFonts w:eastAsia="CourierNewPSMT" w:cs="Times New Roman" w:ascii="Times New Roman" w:hAnsi="Times New Roman"/>
          <w:sz w:val="28"/>
          <w:szCs w:val="28"/>
        </w:rPr>
        <w:t>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Объемы и источники финансового обеспечения Программы приведены в  приложении 3.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Паспорта подпрограмм Программы приведены в приложениях 5 - 6.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Rule="exact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Петровского муниципального округа </w:t>
      </w:r>
    </w:p>
    <w:p>
      <w:pPr>
        <w:sectPr>
          <w:type w:val="nextPage"/>
          <w:pgSz w:w="11906" w:h="16838"/>
          <w:pgMar w:left="1985" w:right="567" w:gutter="0" w:header="0" w:top="1418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ab/>
        <w:t xml:space="preserve">                   Ю.В.Петрич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8789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ConsPlusNormal"/>
        <w:spacing w:lineRule="exact" w:line="240"/>
        <w:ind w:left="8789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3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7"/>
      <w:bookmarkEnd w:id="1"/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Style33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3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737"/>
        <w:gridCol w:w="1414"/>
        <w:gridCol w:w="1016"/>
        <w:gridCol w:w="1099"/>
        <w:gridCol w:w="1098"/>
        <w:gridCol w:w="988"/>
        <w:gridCol w:w="988"/>
        <w:gridCol w:w="1127"/>
        <w:gridCol w:w="1129"/>
        <w:gridCol w:w="1125"/>
      </w:tblGrid>
      <w:tr>
        <w:trPr>
          <w:trHeight w:val="23" w:hRule="atLeast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rPr>
          <w:trHeight w:val="23" w:hRule="atLeast"/>
        </w:trPr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23" w:hRule="atLeast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 1 Программы. Комплексное развитие улично-дорожной сети и транспортной инфраструктуры, отвечающей интересам граждан и общества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находящихся в собственности Петровского муниципального округа, отвечающих нормативным требованиям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408,2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461,9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482,4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522,2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рублей на рубль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рублей на рубль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trHeight w:val="23" w:hRule="atLeast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exact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1. «</w:t>
            </w:r>
            <w:r>
              <w:rPr>
                <w:rFonts w:eastAsia="CourierNewPSMT" w:cs="Times New Roman" w:ascii="Times New Roman" w:hAnsi="Times New Roman"/>
                <w:b/>
                <w:sz w:val="24"/>
                <w:szCs w:val="24"/>
              </w:rPr>
              <w:t xml:space="preserve">Развитие улично-дорожной сети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обеспечение безопасности дорожного движения»</w:t>
            </w:r>
          </w:p>
        </w:tc>
      </w:tr>
      <w:tr>
        <w:trPr>
          <w:trHeight w:val="23" w:hRule="atLeast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Задача 1 Подпрограммы 1.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заседаний комиссии по обеспечению безопасности дорожного движения (нарастающим итогом)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7"/>
              <w:tabs>
                <w:tab w:val="clear" w:pos="708"/>
                <w:tab w:val="right" w:pos="4390" w:leader="none"/>
              </w:tabs>
              <w:spacing w:lineRule="exact" w:line="240"/>
              <w:jc w:val="both"/>
              <w:rPr/>
            </w:pPr>
            <w:r>
              <w:rPr>
                <w:b w:val="false"/>
                <w:i w:val="false"/>
                <w:szCs w:val="24"/>
              </w:rPr>
              <w:t>Доля исполненных предписаний отделения государственной инспекции по безопасности дорожного движения отдела министерства внутренних дел   России «Петровский» (далее - ОГИБДД отдела МВД России «Петровский») по установке (замене) технических средств организации дорожного движения (далее -ТСОДД) в сроки, установленные действующим законодательством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highlight w:val="white"/>
              </w:rPr>
              <w:t>Объем перевозок пассажиров автомобильным транспортом общего пользования по муниципальным маршрутам регулярных перевозок на территории 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656,00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657,50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661,00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663,00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665,00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реализованных инициативных проектов на территории Петровского муниципального округа Ставропольского края (нарастающим итогом)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38,87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34,75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30,89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муниципальном округе Ставропольского края в сфере дорожной деятельности (нарастающим итогом)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мостовых сооружений в Петровском городском округе Ставропольского края приведенных в нормативное состояние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тысяча погонных метров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0,0486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объектов строительства (реконструкции) местных автомобильных дорог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3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участков местных автомобильных дорог к общеобразовательным организациям, приведенных в нормативное состояние за счет субсидии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ConsPlusNormal"/>
        <w:spacing w:lineRule="exact" w:line="240"/>
        <w:ind w:left="9356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3"/>
      <w:bookmarkEnd w:id="2"/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основных мероприятий подпрограмм 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529" w:type="dxa"/>
        <w:jc w:val="lef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"/>
        <w:gridCol w:w="677"/>
        <w:gridCol w:w="2859"/>
        <w:gridCol w:w="2486"/>
        <w:gridCol w:w="2447"/>
        <w:gridCol w:w="1315"/>
        <w:gridCol w:w="1332"/>
        <w:gridCol w:w="3130"/>
      </w:tblGrid>
      <w:tr>
        <w:trPr>
          <w:trHeight w:val="23" w:hRule="atLeast"/>
        </w:trPr>
        <w:tc>
          <w:tcPr>
            <w:tcW w:w="283" w:type="dxa"/>
            <w:vMerge w:val="restart"/>
            <w:tcBorders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Тип основного мероприятия </w:t>
            </w:r>
            <w:hyperlink w:anchor="P515">
              <w:r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rPr>
          <w:trHeight w:val="23" w:hRule="atLeast"/>
        </w:trPr>
        <w:tc>
          <w:tcPr>
            <w:tcW w:w="283" w:type="dxa"/>
            <w:vMerge w:val="continue"/>
            <w:tcBorders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начала реализации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окончания реализации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Цель 1 Программы. </w:t>
            </w:r>
            <w:r>
              <w:rPr>
                <w:rFonts w:eastAsia="CourierNewPSMT" w:cs="Times New Roman" w:ascii="Times New Roman" w:hAnsi="Times New Roman"/>
                <w:b/>
              </w:rPr>
              <w:t>Комплексное развитие улично-дорожной сети и транспортной инфраструктуры, отвечающей интересам граждан и общества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Подпрограмма 1. «</w:t>
            </w:r>
            <w:r>
              <w:rPr>
                <w:rFonts w:eastAsia="CourierNewPSMT" w:cs="Times New Roman" w:ascii="Times New Roman" w:hAnsi="Times New Roman"/>
                <w:b/>
              </w:rPr>
              <w:t xml:space="preserve">Развитие улично-дорожной сети </w:t>
            </w:r>
            <w:r>
              <w:rPr>
                <w:rFonts w:cs="Times New Roman" w:ascii="Times New Roman" w:hAnsi="Times New Roman"/>
                <w:b/>
              </w:rPr>
              <w:t>и обеспечение безопасности дорожного движения»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</w:rPr>
              <w:t>- Протяженность  автомобильных дорог общего пользования местного значения, находящихся в собственности Петровского муниципального округа, отвечающих нормативным требованиям;</w:t>
            </w:r>
          </w:p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</w:p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округов.</w:t>
            </w:r>
          </w:p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Задача 1 Подпрограммы 1.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- доля исполненных предписаний </w:t>
            </w:r>
            <w:r>
              <w:rPr>
                <w:rFonts w:cs="Times New Roman" w:ascii="Times New Roman" w:hAnsi="Times New Roman"/>
                <w:szCs w:val="24"/>
              </w:rPr>
              <w:t>ОГИБДД отдела МВД России «Петровский»</w:t>
            </w:r>
            <w:r>
              <w:rPr>
                <w:rFonts w:cs="Times New Roman" w:ascii="Times New Roman" w:hAnsi="Times New Roman"/>
              </w:rPr>
              <w:t xml:space="preserve"> по установке (замене) ТСОДД в сроки, установленные действующим законодательством 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Содержание, капитальный ремонт и ремонт улично-дорожной сети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хозяйства;</w:t>
            </w:r>
          </w:p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«Коммунальное хозяйство»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(нарастающим итогом)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деятельности комиссии по обеспечению безопасности дорожного движения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Количество проведенных заседаний комиссии по обеспечению безопасности дорожного движения (нарастающим итогом)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хозяйства, перевозчики (по согласованию)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  <w:spacing w:val="2"/>
                <w:shd w:fill="FFFFFF" w:val="clear"/>
              </w:rPr>
              <w:t>- объем перевозок пассажиров автомобильным транспортом общего пользования по муниципальным маршрутам регулярных перевозок на территории округа</w:t>
            </w:r>
            <w:r>
              <w:rPr>
                <w:rFonts w:cs="Times New Roman" w:ascii="Times New Roman" w:hAnsi="Times New Roman"/>
              </w:rPr>
              <w:t>;</w:t>
            </w:r>
          </w:p>
          <w:p>
            <w:pPr>
              <w:pStyle w:val="Normal"/>
              <w:snapToGrid w:val="false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управление муниципального хозяйства;</w:t>
            </w:r>
          </w:p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жители округа (по согласованию);</w:t>
            </w:r>
          </w:p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хозяйствующие субъекты (по согласованию)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количество реализованных инициативных проектов на территории Петровского муниципального округа Ставропольского края (нарастающим итогом);</w:t>
            </w:r>
          </w:p>
          <w:p>
            <w:pPr>
              <w:pStyle w:val="Normal"/>
              <w:snapToGrid w:val="false"/>
              <w:spacing w:lineRule="exact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управление муниципального хозяйства;</w:t>
            </w:r>
          </w:p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управление по делам территорий; инициативная группа граждан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- 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</w:rPr>
              <w:t>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исполнение публичных нормативных обязательств (по каждому обязательству или группе обязательств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количество мостовых сооружений в Петровском городском округе Ставропольского края, приведенных в нормативное состояние;</w:t>
            </w:r>
          </w:p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Количество объектов строительства (реконструкции) местных автомобильных дорог,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 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Капитальный ремонт и ремонт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</w:p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      </w:r>
          </w:p>
        </w:tc>
      </w:tr>
      <w:tr>
        <w:trPr>
          <w:trHeight w:val="23" w:hRule="atLeast"/>
        </w:trPr>
        <w:tc>
          <w:tcPr>
            <w:tcW w:w="28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Капитальный ремонт и ремонт автомобильных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lineRule="exact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участков местных автомобильных дорог к общеобразовательным организациям, приведенных в нормативное состояние за счет субсидии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3</w:t>
      </w:r>
    </w:p>
    <w:p>
      <w:pPr>
        <w:pStyle w:val="ConsPlusNormal"/>
        <w:spacing w:lineRule="exact" w:line="240"/>
        <w:ind w:left="9356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ОБЪЕМЫ И ИСТОЧНИКИ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финансового обеспечения 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313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8"/>
        <w:gridCol w:w="3183"/>
        <w:gridCol w:w="3882"/>
        <w:gridCol w:w="1130"/>
        <w:gridCol w:w="1112"/>
        <w:gridCol w:w="1194"/>
        <w:gridCol w:w="992"/>
        <w:gridCol w:w="992"/>
        <w:gridCol w:w="1130"/>
      </w:tblGrid>
      <w:tr>
        <w:trPr>
          <w:trHeight w:val="145" w:hRule="atLeast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Объемы финансового обеспечения по годам</w:t>
            </w:r>
          </w:p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(тыс. рублей)</w:t>
            </w:r>
          </w:p>
        </w:tc>
      </w:tr>
      <w:tr>
        <w:trPr>
          <w:trHeight w:val="838" w:hRule="atLeast"/>
        </w:trPr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</w:tr>
      <w:tr>
        <w:trPr>
          <w:trHeight w:val="209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203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Программа «Развитие транспортной системы и обеспечение безопасности дорожного движения», всего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258868,71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402107,16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464675,13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175395,69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153028,60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154147,14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/>
            </w:pPr>
            <w:r>
              <w:rPr>
                <w:rFonts w:cs="Times New Roman" w:ascii="Times New Roman" w:hAnsi="Times New Roman"/>
              </w:rPr>
              <w:t>бюджет Петровского муниципального округа Ставропольского края (далее – бюджет округа),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258868,71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401784,34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463939,06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174945,37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153028,60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154147,14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196242,83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331888,09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380773,21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93862,21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94905,00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196242,83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331888,09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380773,21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93862,21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94905,00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«Коммунальное хозяйство»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по делам территорий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62625,88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69896,25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83165,85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165945,37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59166,39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59242,14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58625,88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65896,25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83165,85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165945,37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59166,39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59242,14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«Коммунальное хозяйство»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по делам территорий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322,82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736,07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322,82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736,07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/>
            </w:pPr>
            <w:r>
              <w:rPr>
                <w:rFonts w:cs="Times New Roman" w:ascii="Times New Roman" w:hAnsi="Times New Roman"/>
                <w:b/>
              </w:rPr>
              <w:t>Подпрограмма «</w:t>
            </w:r>
            <w:r>
              <w:rPr>
                <w:rFonts w:eastAsia="CourierNewPSMT" w:cs="Times New Roman" w:ascii="Times New Roman" w:hAnsi="Times New Roman"/>
                <w:b/>
              </w:rPr>
              <w:t xml:space="preserve">Развитие улично-дорожной сети </w:t>
            </w:r>
            <w:r>
              <w:rPr>
                <w:rFonts w:cs="Times New Roman" w:ascii="Times New Roman" w:hAnsi="Times New Roman"/>
                <w:b/>
              </w:rPr>
              <w:t>и обеспечение безопасности дорожного движения», всего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258868,71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402107,16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464675,13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175395,69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153028,60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154147,14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258868,71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401784,34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463939,06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174945,37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153028,60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154147,14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196242,83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331888,09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380773,21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93862,21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94905,00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196242,83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331888,09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380773,21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93862,21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94905,00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«Коммунальное хозяйство»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по делам территорий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62625,88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69896,25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83165,85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165945,37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59166,39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59242,14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58625,88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65896,25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83165,85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165945,37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59166,39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59242,14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«Коммунальное хозяйство»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по делам территорий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322,82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736,07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322,82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736,07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2.1.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3208,34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2284,85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2366,,28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2277,42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2296,28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2317,14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3208,34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2284,85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2366,,28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2277,42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2296,28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2317,14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3208,34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2284,85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2366,,28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2277,42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2296,28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2317,14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3208,34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2284,85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2366,,28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2277,42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2296,28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2317,14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2.2.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Содержание, капитальный ремонт и ремонт улично-дорожной сети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240807,94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234728,93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348911,58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150732,32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151830,00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240807,94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234728,93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348911,58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150732,32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151830,00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191042,23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173458,46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276045,22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93862,21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94905,00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191042,23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173458,46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276045,22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93862,21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94905,00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«Коммунальное хозяйство»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49765,71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61270,47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72866,36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56870,11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56925,00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45765,71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57270,47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72866,36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56870,11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56925,00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«Коммунальное хозяйство»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Организация деятельности комиссии по обеспечению безопасности дорожного движения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требует финансирования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/>
            </w:pPr>
            <w:r>
              <w:rPr>
                <w:rFonts w:cs="Times New Roman" w:ascii="Times New Roman" w:hAnsi="Times New Roman"/>
                <w:b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/>
            </w:pPr>
            <w:r>
              <w:rPr>
                <w:rFonts w:cs="Times New Roman" w:ascii="Times New Roman" w:hAnsi="Times New Roman"/>
                <w:b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9524,71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5795,67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11677,04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12902,32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9524,71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5479,65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11024,97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5200,60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3312,72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7161,45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5200,60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3312,72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7161,45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4324,11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2166,83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3863,52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4324,11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2166,83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3863,52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316,02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652,07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316,02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652,07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/>
            </w:pPr>
            <w:r>
              <w:rPr>
                <w:rFonts w:cs="Times New Roman" w:ascii="Times New Roman" w:hAnsi="Times New Roman"/>
                <w:b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5327,72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1849,41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1458,34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7103,55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5327,72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1842,61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1374,34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7103,55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по делам территорий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5327,72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1842,61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1374,34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7103,55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5327,72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1842,61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1374,34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7103,55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по делам территорий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6,80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6,80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2.7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/>
            </w:pPr>
            <w:r>
              <w:rPr>
                <w:rFonts w:cs="Times New Roman" w:ascii="Times New Roman" w:hAnsi="Times New Roman"/>
                <w:b/>
              </w:rPr>
              <w:t>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157448,30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98581,89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157448,30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98581,89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155116,81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97566,54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155116,81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97566,54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2331,49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2331,49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2.8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2.9.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Капитальный ремонт и ремонт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</w:p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98442,40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98442,40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98442,40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98442,40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2.10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Капитальный ремонт и ремонт автомобильных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/>
            </w:pPr>
            <w:r>
              <w:rPr>
                <w:rFonts w:cs="Times New Roman" w:ascii="Times New Roman" w:hAnsi="Times New Roman"/>
                <w:b/>
              </w:rPr>
              <w:t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общепрограммные мероприятия», всего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бюджет округа, в т.ч.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краевого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бюджета округа,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т.ч. предусмотренные: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налоговые расходы бюджета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юридических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>
          <w:trHeight w:val="50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9356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4</w:t>
      </w:r>
    </w:p>
    <w:p>
      <w:pPr>
        <w:pStyle w:val="ConsPlusNormal"/>
        <w:spacing w:lineRule="exact" w:line="240"/>
        <w:ind w:left="935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</w:p>
    <w:p>
      <w:pPr>
        <w:pStyle w:val="Style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3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3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ConsPlusNonformat"/>
        <w:spacing w:lineRule="exact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>
      <w:pPr>
        <w:pStyle w:val="Style33"/>
        <w:rPr/>
      </w:pPr>
      <w:r>
        <w:rPr/>
      </w:r>
    </w:p>
    <w:tbl>
      <w:tblPr>
        <w:tblW w:w="1432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2"/>
        <w:gridCol w:w="5056"/>
        <w:gridCol w:w="1410"/>
        <w:gridCol w:w="1410"/>
        <w:gridCol w:w="1410"/>
        <w:gridCol w:w="1410"/>
        <w:gridCol w:w="1411"/>
        <w:gridCol w:w="1588"/>
      </w:tblGrid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Цели Программы и задачи подпрограмм Программы</w:t>
            </w:r>
          </w:p>
        </w:tc>
        <w:tc>
          <w:tcPr>
            <w:tcW w:w="8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Значения весовых коэффициентов, присвоенных целям</w:t>
            </w:r>
          </w:p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Программы и задачам подпрограмм Программы по годам</w:t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Цель 1 Программы</w:t>
            </w:r>
            <w:r>
              <w:rPr>
                <w:rFonts w:eastAsia="CourierNewPSMT" w:cs="Times New Roman" w:ascii="Times New Roman" w:hAnsi="Times New Roman"/>
              </w:rPr>
              <w:t xml:space="preserve"> Комплексное развитие улично-дорожной сети и транспортной инфраструктуры, отвечающей интересам граждан и общества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Fonts w:cs="Times New Roman" w:ascii="Times New Roman" w:hAnsi="Times New Roman"/>
              </w:rPr>
              <w:t>Подпрограмма 1. «</w:t>
            </w:r>
            <w:r>
              <w:rPr>
                <w:rFonts w:eastAsia="CourierNewPSMT" w:cs="Times New Roman" w:ascii="Times New Roman" w:hAnsi="Times New Roman"/>
              </w:rPr>
              <w:t xml:space="preserve">Развитие улично-дорожной сети </w:t>
            </w:r>
            <w:r>
              <w:rPr>
                <w:rFonts w:cs="Times New Roman" w:ascii="Times New Roman" w:hAnsi="Times New Roman"/>
              </w:rPr>
              <w:t>и обеспечение безопасности дорожного движения»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Задача 1 подпрограммы 1 Программы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1985" w:right="820" w:gutter="0" w:header="0" w:top="1418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spacing w:lineRule="exact" w:line="240" w:before="0" w:after="0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5</w:t>
      </w:r>
    </w:p>
    <w:p>
      <w:pPr>
        <w:pStyle w:val="Normal"/>
        <w:widowControl w:val="false"/>
        <w:spacing w:lineRule="exact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муниципальной программе Петровского муниципального округа Ставропольского края «Развитие транспортной системы и обеспечение безопасности дорожного движения»</w:t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" w:name="Par1121"/>
      <w:bookmarkStart w:id="4" w:name="Par1121"/>
      <w:bookmarkEnd w:id="4"/>
    </w:p>
    <w:p>
      <w:pPr>
        <w:pStyle w:val="Style33"/>
        <w:spacing w:lineRule="exact" w:line="240"/>
        <w:jc w:val="center"/>
        <w:rPr/>
      </w:pPr>
      <w:r>
        <w:rPr/>
      </w:r>
    </w:p>
    <w:p>
      <w:pPr>
        <w:pStyle w:val="Style33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</w:t>
      </w:r>
    </w:p>
    <w:p>
      <w:pPr>
        <w:pStyle w:val="Style33"/>
        <w:spacing w:lineRule="exact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ourierNewPSMT;Times New Roman" w:cs="Times New Roman" w:ascii="Times New Roman" w:hAnsi="Times New Roman"/>
          <w:sz w:val="28"/>
          <w:szCs w:val="28"/>
        </w:rPr>
        <w:t xml:space="preserve">Развитие улично-дорожной сети </w:t>
      </w:r>
      <w:r>
        <w:rPr>
          <w:rFonts w:cs="Times New Roman" w:ascii="Times New Roman" w:hAnsi="Times New Roman"/>
          <w:sz w:val="28"/>
          <w:szCs w:val="28"/>
        </w:rPr>
        <w:t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</w:p>
    <w:p>
      <w:pPr>
        <w:pStyle w:val="Style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</w:r>
    </w:p>
    <w:p>
      <w:pPr>
        <w:pStyle w:val="Style33"/>
        <w:spacing w:lineRule="exact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подпрограммы «</w:t>
      </w:r>
      <w:r>
        <w:rPr>
          <w:rFonts w:eastAsia="CourierNewPSMT;Times New Roman" w:cs="Times New Roman" w:ascii="Times New Roman" w:hAnsi="Times New Roman"/>
          <w:sz w:val="28"/>
          <w:szCs w:val="28"/>
        </w:rPr>
        <w:t xml:space="preserve">Развитие улично-дорожной сети </w:t>
      </w:r>
      <w:r>
        <w:rPr>
          <w:rFonts w:cs="Times New Roman" w:ascii="Times New Roman" w:hAnsi="Times New Roman"/>
          <w:sz w:val="28"/>
          <w:szCs w:val="28"/>
        </w:rPr>
        <w:t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760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подпрограммы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«</w:t>
            </w:r>
            <w:r>
              <w:rPr>
                <w:rFonts w:eastAsia="CourierNewPSMT" w:cs="Times New Roman" w:ascii="Times New Roman" w:hAnsi="Times New Roman"/>
                <w:sz w:val="28"/>
                <w:szCs w:val="28"/>
              </w:rPr>
              <w:t xml:space="preserve">Развитие улично-дорожной сети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(далее – подпрограмма)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муниципального хозяйства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Соисполнители подпрограммы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по делам территорий;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жители округа (по согласованию);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перевозчики (по согласованию);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хозяйствующие субъекты (по согласованию);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инициативная группа граждан (по согласованию);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 «Коммунальное хозяйство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 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Показатели решения задач подпрограммы 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проведенных заседаний комиссии по обеспечению безопасности дорожного движения;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доля исполненных предписаний ОГИБДД отдела МВД России «Петровский» по установке (замене) ТСОДД в сроки, установленные действующим законодательством;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  <w:t>объем перевозок пассажиров автомобильным транспортом общего пользования по муниципальным маршрутам регулярных перевозок на территории округа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реализованных инициативных проектов на территории Петровского муниципального округа Ставропольского края (нарастающим итогом);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итогом);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мостовых сооружений в Петровском городском округе Ставропольского края, приведенных в нормативное состояние;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объектов строительства (реконструкции) местных автомобильных дорог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участков местных автомобильных дорог к общеобразовательным организациям, приведенных в нормативное состояние за счет субсидии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2021 - 2026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 финансового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обеспечения подпрограммы</w:t>
              <w:tab/>
              <w:tab/>
              <w:tab/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объем финансового обеспечения Подпрограммы Программы составит 1608222,44 тыс. рублей, в том числе по источникам финансового обеспечения: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бюджет Ставропольского края (далее – краевой бюджет) – 1106671,35 тыс. рублей, в том числе по годам: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196242,83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331888,09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380773,22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2024 году – 9000,00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93862,21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94905,00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бюджет Петровского муниципального округа Ставропольского края (далее – бюджет округа) – 500041,88 тыс. рублей, в том числе по годам: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62625,88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69896,25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83165,85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в 2024 году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165945,37 тысяч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59166,39 тысяч рублей;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59242,14 тысяч рублей.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налоговые расходы бюджета округа – 0,00 тыс. рублей, в том числе по годам: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2024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0,00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средства участников Программы – 1509,21 тыс. рублей, в том числе по годам: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2021 году – 0,00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2022 году – 322,82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2023 году – 736,07 тыс. рублей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2024 году – 450,32 тыс. рублей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2025 году – 0,00 тыс. рублей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2026 году – 0,00 тыс. рублей».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конечные результаты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проведение не менее 35 заседаний комиссии по обеспечению безопасности дорожного движения до 2026 года;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ежегодное обеспечение доли исполненных предписаний ОГИБДД отдела МВД России «Петровский» по установке (замене) ТСОДД в сроки, установленные действующим законодательством,  не менее 100 процентов;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увеличение </w:t>
            </w: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  <w:t>объема перевозок пассажиров автомобильным транспортом общего пользования по муниципальным маршрутам регулярных перевозок на территории округа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до 665,0 тыс. чел. к 2026 году;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ежегодное обеспечение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 на уровне 0 процентов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реализация не менее 21 инициативного проекта на территории Петровского муниципального округа Ставропольского края до 2026 года;</w:t>
            </w:r>
          </w:p>
          <w:p>
            <w:pPr>
              <w:pStyle w:val="Style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30,89 процентов к 2026 году;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обеспечение участия граждан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деятельности, в количестве не менее 174 человек к 2026 году; 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приведение в нормативное состояние к концу 2023 года не менее 1 мостового сооружения;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приведение в нормативное состояние к концу 2023 года 0,0486 тысяч погонных метров искусственных сооружений на автомобильных дорогах регионального или межмуниципального и местного значения (накопленным итогом);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объектов строительства (реконструкции) местных автомобильных дорог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стоимости, к  концу 2024 года не менее 2 ед.</w:t>
            </w:r>
          </w:p>
          <w:p>
            <w:pPr>
              <w:pStyle w:val="Style3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 не менее 7,224 км. к 2026 году;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количество участков местных автомобильных дорог к общеобразовательным организациям, приведенных в нормативное состояние за счет субсидии не менее 2 к 2026 году.</w:t>
            </w:r>
          </w:p>
        </w:tc>
      </w:tr>
    </w:tbl>
    <w:p>
      <w:pPr>
        <w:pStyle w:val="Style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Характеристика основных мероприятий подпрограммы</w:t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включает в себя следующие мероприятия: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Установка, ремонт и содержание ТСОДД на автомобильных дорогах и улично-дорожной сети.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мероприятия предполагает содержание, реконструкцию, ремонт светофорных объектов, приобретение и установку дорожных знаков.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участники не предусмотрены.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ежегодное обеспечение доли исполненных предписаний ОГИБДД отдела МВД России «Петровский» по установке (замене) ТСОДД в сроки, установленные действующим законодательством не менее 100 процентов.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Содержание, капитальный ремонт и ремонт улично-дорожной сети. </w:t>
      </w:r>
    </w:p>
    <w:p>
      <w:pPr>
        <w:pStyle w:val="Style33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мероприятия предполагает:</w:t>
      </w:r>
    </w:p>
    <w:p>
      <w:pPr>
        <w:pStyle w:val="Style33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проведение работ по содержанию и ремонту автомобильных дорог общего пользования, в том числе предоставление субсидий бюджетным, автономным учреждениям и иным некоммерческим организациям в целях выполнения работ по содержанию, капитальному ремонту и ремонту улично-дорожной сети;</w:t>
      </w:r>
    </w:p>
    <w:p>
      <w:pPr>
        <w:pStyle w:val="Style33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капитальный ремонт и ремонт автомобильных дорог общего пользования местного значения;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разработку в 2021 году проектно – сметной документации на «Реконструкцию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ремонт остановочных павильонов;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техническое обследование мостов;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диагностики и оценки транспортно-эксплуатационного состояния автомобильных дорог.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Участником данного основного мероприятия Подпрограммы является МБУ «Коммунальное хозяйство. 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30,89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процентов к 2026 году.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Организация деятельности комиссии по обеспечению безопасности дорожного движения.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мероприятия предполагает проведение заседаний комиссии округа по обеспечению безопасности дорожного движения с целью рассмотрения вопросов, связанных с обеспечением безопасности дорожного движения на территории округа.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участники не предусмотрены.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не менее 35 заседаний комиссии по обеспечению безопасности дорожного движения до 2026 года (нарастающим итогом).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Реализация мероприятия предполагает организацию транспортного обслуживания населения округа и контроль за исполнением перевозчиками требований </w:t>
      </w:r>
      <w:r>
        <w:rPr>
          <w:rFonts w:cs="Times New Roman" w:ascii="Times New Roman" w:hAnsi="Times New Roman"/>
          <w:bCs/>
          <w:sz w:val="28"/>
          <w:szCs w:val="28"/>
        </w:rPr>
        <w:t>к осуществлению перевозок по муниципальным маршрутам регулярных пассажирских перевозок.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Участниками данного мероприятия являются перевозчики (по согласованию).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увеличение </w:t>
      </w:r>
      <w:r>
        <w:rPr>
          <w:rFonts w:cs="Times New Roman" w:ascii="Times New Roman" w:hAnsi="Times New Roman"/>
          <w:spacing w:val="2"/>
          <w:sz w:val="28"/>
          <w:szCs w:val="28"/>
          <w:shd w:fill="FFFFFF" w:val="clear"/>
        </w:rPr>
        <w:t>объема перевозок пассажиров автомобильным транспортом общего пользования по муниципальным маршрутам регулярных перевозок на территории округа</w:t>
      </w:r>
      <w:r>
        <w:rPr>
          <w:rFonts w:cs="Times New Roman" w:ascii="Times New Roman" w:hAnsi="Times New Roman"/>
          <w:sz w:val="28"/>
          <w:szCs w:val="28"/>
        </w:rPr>
        <w:t xml:space="preserve"> до 665,0 тыс. чел. к 2026 году;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 на уровне 0 процентов.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Реализация инициативных проектов на территории Петровского муниципального округа Ставропольского края.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рамках мероприятия предполагается реализация на территории округа проектов</w:t>
      </w:r>
      <w:r>
        <w:rPr>
          <w:rFonts w:eastAsia="CourierNewPSMT" w:cs="Times New Roman" w:ascii="Times New Roman" w:hAnsi="Times New Roman"/>
          <w:sz w:val="28"/>
          <w:szCs w:val="28"/>
        </w:rPr>
        <w:t xml:space="preserve"> (в части развития улично-дорожной сети и транспортной инфраструктуры)</w:t>
      </w:r>
      <w:r>
        <w:rPr>
          <w:rFonts w:cs="Times New Roman" w:ascii="Times New Roman" w:hAnsi="Times New Roman"/>
          <w:sz w:val="28"/>
          <w:szCs w:val="28"/>
        </w:rPr>
        <w:t>, основанных на инициативах жителей округа, с проведением части работ за счет средств хозяйствующих субъектов и жителей округа: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2021 году: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«Обустройство остановочных павильонов по улице 60 лет Октября, улице Садовая, улице Бассейная, улице Правды в городе Светлограде Петровского городского округа Ставропольского края»;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«Устройство и ремонт тротуара по улице Красная в селе Сухая Буйвола Петровского городского округа Ставропольского края»;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дорог общего пользования по улице Заречная,                              улице Молодежная села Шангала Петровского городского округа Ставропольского края».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2022 году: 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дороги по ул. Молодёжная в селе Николина Балка Петровского городского округа Ставропольского края»;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«Обустройство остановочных павильонов по ул. 9-е Января,                 ул. Николаенко, пер. Пионерский, ул. Шоссейная в городе Светлограде Петровского городского округа Ставропольского края».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2023 году: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«Ремонт тротуара по ул. Ленина и ул. Советской в селе Ореховка Петровского городского округа Ставропольского края»;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«Ремонт автомобильной дороги общего пользования местного значения по ул. Новая в поселке Прикалаусский Петровского городского округа Ставропольского края»;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«Ремонт дороги по ул. Песчаная в селе Николина Балка Петровского городского округа Ставропольского края»;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«Обустройство остановочных павильонов по ул. Шоссейная,                          ул. Техническая, ул. Кисличанская, ул. Правды в городе Светлограде Петровского городского округа Ставропольского края».</w:t>
      </w:r>
    </w:p>
    <w:p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2024 году:</w:t>
      </w:r>
    </w:p>
    <w:p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тротуара по ул. Шоссейная в селе Николина Балка Петровского муниципального округа Ставропольского края»;</w:t>
      </w:r>
    </w:p>
    <w:p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«Устройство тротуара по ул. Советской в селе Ореховка Петровского муниципального округа Ставропольского края»;</w:t>
      </w:r>
    </w:p>
    <w:p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участков автомобильной дороги по улице Почтовая поселка Прикалаусский Петровского муниципального округа Ставропольского края»;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«Благоустройство пешеходных зон по ул. Первомайской и ул. Садовой п. Рогатая Балка Петровского муниципального округа Ставропольского края.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Участниками данного мероприятия являются жители округа                   (по согласованию) и хозяйствующие субъекты (по согласованию).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реализация не менее 21 инициативного проекта на территории Петровского муниципального округа Ставропольского края до 2026 года;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30,89 процентов к 2026 году.</w:t>
      </w:r>
    </w:p>
    <w:p>
      <w:pPr>
        <w:pStyle w:val="Normal"/>
        <w:autoSpaceDE w:val="false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6) Реализация инициативных проектов в Петровском муниципальном округе Ставропольского края за счет средств местного бюджета.</w:t>
      </w:r>
    </w:p>
    <w:p>
      <w:pPr>
        <w:pStyle w:val="Normal"/>
        <w:autoSpaceDE w:val="false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рамках мероприятия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реализуются инициативные проекты, которые прошли конкурсный отбор в соответствии с Положением о порядке выдвижения, внесения, обсуждения, рассмотрения инициативных проектов, а также проведения их конкурсного отбора в округе</w:t>
      </w:r>
      <w:r>
        <w:rPr>
          <w:rFonts w:cs="Times New Roman" w:ascii="Times New Roman" w:hAnsi="Times New Roman"/>
          <w:sz w:val="28"/>
          <w:szCs w:val="28"/>
        </w:rPr>
        <w:t>, в том числе: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2021 году: 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участка автомобильной дороги по ул. Куйбышева                              в городе Светлограде»;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участка автомобильной дороги по пер. 2-ому Крайнему в городе Светлограде»;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участка автомобильной дороги по ул. Грушовая                                   в городе Светлограде»;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участка автомобильной дороги по ул. Колхозной                                    в городе Светлограде»;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участка автомобильной дороги по пер. 2-му Калаусскому в городе Светлограде».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2022 году:</w:t>
      </w:r>
    </w:p>
    <w:p>
      <w:pPr>
        <w:pStyle w:val="Style33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«Асфальтирование дорог общего пользования местного значения по улице Солнечная и пер. Громова в г. Светлограде Петровского муниципального округа Ставропольского края»;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Обустройство автомобильной дороги – подъезд к общественному кладбищу с. Шведино</w:t>
      </w:r>
      <w:r>
        <w:rPr>
          <w:rFonts w:cs="Times New Roman" w:ascii="Times New Roman" w:hAnsi="Times New Roman"/>
          <w:color w:val="000000"/>
          <w:sz w:val="28"/>
          <w:szCs w:val="28"/>
        </w:rPr>
        <w:t>».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2023 году: 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«Ремонт тротуара, расположенного по адресу: Ставропольский край, Петровский район, село Константиновское, улица Гагарина, от дома №86 до дома №132».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2024 году: </w:t>
      </w:r>
    </w:p>
    <w:p>
      <w:pPr>
        <w:pStyle w:val="Style33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>»;</w:t>
      </w:r>
    </w:p>
    <w:p>
      <w:pPr>
        <w:pStyle w:val="Style33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>»;</w:t>
      </w:r>
    </w:p>
    <w:p>
      <w:pPr>
        <w:pStyle w:val="Style33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Ремонт участка автомобильной дороги общего пользования местного значения по ул. Железнодорожная х. Вознесенский  Петровского муниципального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>»;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Ремонт дороги по тупику Приветливый города Светлограда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Соисполнителем данного мероприятия является управление по делам территорий. 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Участниками данного мероприятия являются инициативные группы граждан (по согласованию).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участия граждан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в количестве не менее 174 человек к 2026 году.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мероприятия предполагает: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заключение муниципального контракта на выполнение работ по реализации проекта «Реконструкция мостового перехода через железную дорогу, путепровод на а/д №5 «Светлоград – Благодарный – Буденновск»        в городе Светлограде Петровского городского округа Ставропольского края»;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выполнение работ по реализации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участники не предусмотрены.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5"/>
      <w:r>
        <w:rPr>
          <w:rFonts w:cs="Times New Roman" w:ascii="Times New Roman" w:hAnsi="Times New Roman"/>
          <w:sz w:val="28"/>
          <w:szCs w:val="28"/>
        </w:rPr>
        <w:t>- приведение в нормативное состояние к концу 2023 года не менее 1 мостового сооружения в Петровском городском округе Ставропольского края;</w:t>
      </w:r>
    </w:p>
    <w:p>
      <w:pPr>
        <w:pStyle w:val="Style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приведение в нормативное состояние к концу 2023 года 0,0486 тысяч погонных метров искусственных сооружений на автомобильных дорогах регионального или межмуниципального и местного значения (накопленным итогом).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Реконструкция объектов, находящихся в муниципальной собственности.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мероприятия предполагает: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разработку проектной документации на выполнение работ по реконструкции автомобильных дорог общего пользования местного значения по ул. Кавказская, ул. Калинина, ул. Сельскохозяйственная в городе Светлограде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разработку проектной документации по объекту: «Реконструкция моста через реку Калаус на а/д «Светлоград – Благодарный – Буденновск» в г. Светлограде </w:t>
      </w:r>
      <w:r>
        <w:rPr>
          <w:rStyle w:val="Highlightcolor"/>
          <w:rFonts w:cs="Times New Roman" w:ascii="Times New Roman" w:hAnsi="Times New Roman"/>
          <w:sz w:val="28"/>
          <w:szCs w:val="28"/>
        </w:rPr>
        <w:t>Петровского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муниципального округа Ставропольского края»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участники не предусмотрены.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количество объектов строительства (реконструкции) местных автомобильных дорог,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стоимости, к  концу 2024 года не менее 2 ед.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9) Капитальный ремонт и ремонт автомобильных дорог общего пользования местного значения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мероприятия предполагает: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капитальный ремонт и ремонт автомобильных дорог общего пользования местного значения с использованием средств субсидии из бюджета Ставропольского края.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участники не предусмотрены.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прирост протяженности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 не менее 7,224 км. к 2026 году.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10) Капитальный ремонт и ремонт автомобильных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>
      <w:pPr>
        <w:pStyle w:val="Style33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мероприятия предполагает: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Капитальный ремонт и ремонт автомобильных дорог общего пользования местного значения, ведущих к муниципальным общеобразовательным организациям с использованием средств субсидии из бюджета Ставропольского края. 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соисполнители не предусмотрены.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данного основного мероприятия Подпрограммы участники не предусмотрены.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участков местных автомобильных дорог к общеобразовательным организациям, приведенных в нормативное состояние за счет субсидии не менее 2 к 2026 году.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мероприятий Подпрограммы приведен в приложении 2 к Программе.</w:t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727" w:type="dxa"/>
        <w:jc w:val="left"/>
        <w:tblInd w:w="46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</w:tblGrid>
      <w:tr>
        <w:trPr/>
        <w:tc>
          <w:tcPr>
            <w:tcW w:w="4727" w:type="dxa"/>
            <w:tcBorders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6</w:t>
            </w:r>
          </w:p>
          <w:p>
            <w:pPr>
              <w:pStyle w:val="Normal"/>
              <w:spacing w:lineRule="exact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 «Развитие транспортной системы и обеспечение безопасности дорожного движения»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общепрограммные мероприятия»</w:t>
      </w:r>
    </w:p>
    <w:p>
      <w:pPr>
        <w:pStyle w:val="Normal"/>
        <w:ind w:left="495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общепрограммные мероприятия»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(далее соответственно - Подпрограмма, Программа) представляет собой совокупность мер, направленных на создание условий для реализации Программы.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Управление реализацией Подпрограммы осуществляется управлением муниципального хозяйства в рамках функций, определенных Положением </w:t>
      </w:r>
      <w:r>
        <w:rPr>
          <w:rStyle w:val="FontStyle29"/>
          <w:sz w:val="28"/>
          <w:szCs w:val="28"/>
        </w:rPr>
        <w:t xml:space="preserve">об управлении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хозяйства </w:t>
      </w:r>
      <w:r>
        <w:rPr>
          <w:rStyle w:val="FontStyle29"/>
          <w:sz w:val="28"/>
          <w:szCs w:val="28"/>
        </w:rPr>
        <w:t>администрации Петровского муниципального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Практическое управление реализацией Подпрограммы основывается на использовании программного метода, повышении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муниципального хозяйства.</w:t>
      </w:r>
    </w:p>
    <w:p>
      <w:pPr>
        <w:pStyle w:val="Style33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Расходы за счет средств бюджета Петровского муниципального округа Ставропольского края на реализацию Подпрограммы не предусмотрены.</w:t>
      </w:r>
    </w:p>
    <w:p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1134" w:gutter="0" w:header="0" w:top="567" w:footer="0" w:bottom="198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Wingdings">
    <w:charset w:val="02"/>
    <w:family w:val="auto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andara">
    <w:charset w:val="cc"/>
    <w:family w:val="swiss"/>
    <w:pitch w:val="variable"/>
  </w:font>
  <w:font w:name="DejaVu Sans">
    <w:charset w:val="01"/>
    <w:family w:val="roman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Times New Roman" w:hAnsi="Times New Roman" w:cs="Times New Roman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10z0">
    <w:name w:val="WW8Num10z0"/>
    <w:qFormat/>
    <w:rPr/>
  </w:style>
  <w:style w:type="character" w:styleId="Style14">
    <w:name w:val="Основной шрифт абзаца"/>
    <w:qFormat/>
    <w:rPr/>
  </w:style>
  <w:style w:type="character" w:styleId="Style15">
    <w:name w:val="Название Знак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-">
    <w:name w:val="Hyperlink"/>
    <w:rPr>
      <w:color w:val="0000FF"/>
      <w:u w:val="single"/>
    </w:rPr>
  </w:style>
  <w:style w:type="character" w:styleId="Style16">
    <w:name w:val="Верхний колонтитул Знак"/>
    <w:basedOn w:val="Style14"/>
    <w:qFormat/>
    <w:rPr/>
  </w:style>
  <w:style w:type="character" w:styleId="Style17">
    <w:name w:val="Нижний колонтитул Знак"/>
    <w:basedOn w:val="Style14"/>
    <w:qFormat/>
    <w:rPr/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styleId="11">
    <w:name w:val="Схема документа Знак1"/>
    <w:qFormat/>
    <w:rPr>
      <w:rFonts w:ascii="Tahoma" w:hAnsi="Tahoma" w:eastAsia="Times New Roman" w:cs="Tahoma"/>
      <w:sz w:val="16"/>
      <w:szCs w:val="16"/>
    </w:rPr>
  </w:style>
  <w:style w:type="character" w:styleId="WW--">
    <w:name w:val="WW-Интернет-ссылка"/>
    <w:qFormat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b/>
      <w:bCs/>
      <w:caps/>
      <w:sz w:val="28"/>
      <w:szCs w:val="24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12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Apple-style-span">
    <w:name w:val="apple-style-span"/>
    <w:qFormat/>
    <w:rPr/>
  </w:style>
  <w:style w:type="character" w:styleId="13">
    <w:name w:val="Название Знак1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20">
    <w:name w:val="Символ нумерации"/>
    <w:qFormat/>
    <w:rPr/>
  </w:style>
  <w:style w:type="character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Style21">
    <w:name w:val="Page Number"/>
    <w:rPr/>
  </w:style>
  <w:style w:type="character" w:styleId="3">
    <w:name w:val="Основной текст с отступом 3 Знак"/>
    <w:qFormat/>
    <w:rPr>
      <w:rFonts w:ascii="Times New Roman" w:hAnsi="Times New Roman" w:cs="Times New Roman"/>
      <w:sz w:val="28"/>
      <w:szCs w:val="24"/>
    </w:rPr>
  </w:style>
  <w:style w:type="character" w:styleId="Style22">
    <w:name w:val="Основной текст с отступом Знак"/>
    <w:qFormat/>
    <w:rPr>
      <w:rFonts w:ascii="Times New Roman" w:hAnsi="Times New Roman" w:cs="Times New Roman"/>
      <w:sz w:val="28"/>
      <w:szCs w:val="24"/>
    </w:rPr>
  </w:style>
  <w:style w:type="character" w:styleId="21">
    <w:name w:val="Основной текст с отступом 2 Знак"/>
    <w:qFormat/>
    <w:rPr>
      <w:rFonts w:ascii="Times New Roman" w:hAnsi="Times New Roman" w:cs="Times New Roman"/>
      <w:sz w:val="28"/>
      <w:szCs w:val="24"/>
      <w:u w:val="single"/>
    </w:rPr>
  </w:style>
  <w:style w:type="character" w:styleId="22">
    <w:name w:val="Основной текст 2 Знак"/>
    <w:qFormat/>
    <w:rPr>
      <w:rFonts w:ascii="Times New Roman" w:hAnsi="Times New Roman" w:cs="Arial"/>
      <w:sz w:val="28"/>
    </w:rPr>
  </w:style>
  <w:style w:type="character" w:styleId="Style23">
    <w:name w:val="Текст сноски Знак"/>
    <w:qFormat/>
    <w:rPr>
      <w:rFonts w:ascii="Times New Roman" w:hAnsi="Times New Roman" w:cs="Arial"/>
    </w:rPr>
  </w:style>
  <w:style w:type="character" w:styleId="Style24">
    <w:name w:val="Символ сноски"/>
    <w:qFormat/>
    <w:rPr>
      <w:vertAlign w:val="superscript"/>
    </w:rPr>
  </w:style>
  <w:style w:type="character" w:styleId="Style25">
    <w:name w:val="Выделение жирным"/>
    <w:qFormat/>
    <w:rPr>
      <w:b/>
      <w:bCs/>
    </w:rPr>
  </w:style>
  <w:style w:type="character" w:styleId="Grame">
    <w:name w:val="grame"/>
    <w:qFormat/>
    <w:rPr/>
  </w:style>
  <w:style w:type="character" w:styleId="Style26">
    <w:name w:val="Текст концевой сноски Знак"/>
    <w:qFormat/>
    <w:rPr>
      <w:rFonts w:ascii="Times New Roman" w:hAnsi="Times New Roman" w:cs="Arial"/>
    </w:rPr>
  </w:style>
  <w:style w:type="character" w:styleId="Style27">
    <w:name w:val="Символ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">
    <w:name w:val="Заголовок 4 Знак"/>
    <w:qFormat/>
    <w:rPr>
      <w:rFonts w:ascii="Arial" w:hAnsi="Arial" w:cs="Arial"/>
      <w:sz w:val="24"/>
      <w:szCs w:val="24"/>
    </w:rPr>
  </w:style>
  <w:style w:type="character" w:styleId="Fontstyle131">
    <w:name w:val="fontstyle13"/>
    <w:qFormat/>
    <w:rPr/>
  </w:style>
  <w:style w:type="character" w:styleId="311">
    <w:name w:val="Основной текст с отступом 3 Знак1"/>
    <w:qFormat/>
    <w:rPr>
      <w:rFonts w:ascii="Times New Roman" w:hAnsi="Times New Roman" w:cs="Times New Roman"/>
      <w:sz w:val="28"/>
      <w:szCs w:val="24"/>
      <w:lang w:eastAsia="zh-CN"/>
    </w:rPr>
  </w:style>
  <w:style w:type="character" w:styleId="14">
    <w:name w:val="Основной текст с отступом Знак1"/>
    <w:qFormat/>
    <w:rPr>
      <w:rFonts w:ascii="Times New Roman" w:hAnsi="Times New Roman" w:cs="Times New Roman"/>
      <w:sz w:val="28"/>
      <w:szCs w:val="24"/>
      <w:lang w:eastAsia="zh-CN"/>
    </w:rPr>
  </w:style>
  <w:style w:type="character" w:styleId="211">
    <w:name w:val="Основной текст с отступом 2 Знак1"/>
    <w:qFormat/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styleId="212">
    <w:name w:val="Основной текст 2 Знак1"/>
    <w:qFormat/>
    <w:rPr>
      <w:rFonts w:ascii="Times New Roman" w:hAnsi="Times New Roman" w:cs="Times New Roman"/>
      <w:sz w:val="28"/>
      <w:lang w:eastAsia="zh-CN"/>
    </w:rPr>
  </w:style>
  <w:style w:type="character" w:styleId="15">
    <w:name w:val="Верхний колонтитул Знак1"/>
    <w:qFormat/>
    <w:rPr>
      <w:rFonts w:ascii="Calibri" w:hAnsi="Calibri" w:eastAsia="Times New Roman" w:cs="Times New Roman"/>
      <w:sz w:val="22"/>
      <w:szCs w:val="22"/>
      <w:lang w:bidi="ar-SA"/>
    </w:rPr>
  </w:style>
  <w:style w:type="character" w:styleId="16">
    <w:name w:val="Нижний колонтитул Знак1"/>
    <w:qFormat/>
    <w:rPr>
      <w:rFonts w:ascii="Calibri" w:hAnsi="Calibri" w:eastAsia="Times New Roman" w:cs="Times New Roman"/>
      <w:sz w:val="22"/>
      <w:szCs w:val="22"/>
      <w:lang w:bidi="ar-SA"/>
    </w:rPr>
  </w:style>
  <w:style w:type="character" w:styleId="Highlightcolor">
    <w:name w:val="highlightcolor"/>
    <w:qFormat/>
    <w:rPr/>
  </w:style>
  <w:style w:type="paragraph" w:styleId="Style28">
    <w:name w:val="Заголовок"/>
    <w:basedOn w:val="Normal"/>
    <w:next w:val="Style29"/>
    <w:qFormat/>
    <w:pPr>
      <w:spacing w:lineRule="auto" w:line="240" w:before="0" w:after="0"/>
      <w:jc w:val="center"/>
    </w:pPr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Style29">
    <w:name w:val="Body Text"/>
    <w:basedOn w:val="Normal"/>
    <w:pPr>
      <w:spacing w:lineRule="auto" w:line="240" w:before="0" w:after="120"/>
    </w:pPr>
    <w:rPr>
      <w:rFonts w:ascii="Times New Roman" w:hAnsi="Times New Roman" w:cs="Times New Roman"/>
      <w:sz w:val="24"/>
      <w:szCs w:val="24"/>
    </w:rPr>
  </w:style>
  <w:style w:type="paragraph" w:styleId="Style30">
    <w:name w:val="List"/>
    <w:basedOn w:val="Style29"/>
    <w:pPr>
      <w:widowControl w:val="false"/>
      <w:suppressAutoHyphens w:val="true"/>
      <w:spacing w:lineRule="exact" w:line="240"/>
      <w:jc w:val="right"/>
      <w:outlineLvl w:val="1"/>
    </w:pPr>
    <w:rPr>
      <w:rFonts w:eastAsia="Lucida Sans Unicode" w:cs="Tahoma"/>
      <w:szCs w:val="20"/>
      <w:lang w:eastAsia="zh-CN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Calibri" w:cs="Courier New"/>
      <w:color w:val="auto"/>
      <w:sz w:val="20"/>
      <w:szCs w:val="20"/>
      <w:lang w:val="ru-RU" w:bidi="ar-SA" w:eastAsia="zh-CN"/>
    </w:rPr>
  </w:style>
  <w:style w:type="paragraph" w:styleId="Style33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3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5">
    <w:name w:val="Header"/>
    <w:basedOn w:val="Normal"/>
    <w:pPr>
      <w:spacing w:lineRule="auto" w:line="240" w:before="0" w:after="0"/>
    </w:pPr>
    <w:rPr/>
  </w:style>
  <w:style w:type="paragraph" w:styleId="Style36">
    <w:name w:val="Footer"/>
    <w:basedOn w:val="Normal"/>
    <w:pPr>
      <w:spacing w:lineRule="auto" w:line="240" w:before="0" w:after="0"/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4"/>
      <w:szCs w:val="24"/>
      <w:lang w:val="ru-RU" w:bidi="ar-SA" w:eastAsia="zh-CN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  <w:lang w:val="ru-RU"/>
    </w:rPr>
  </w:style>
  <w:style w:type="paragraph" w:styleId="Western">
    <w:name w:val="western"/>
    <w:basedOn w:val="Normal"/>
    <w:qFormat/>
    <w:pPr>
      <w:spacing w:before="280" w:after="142"/>
    </w:pPr>
    <w:rPr>
      <w:rFonts w:cs="Calibri"/>
      <w:color w:val="000000"/>
      <w:lang w:eastAsia="zh-CN"/>
    </w:rPr>
  </w:style>
  <w:style w:type="paragraph" w:styleId="Style3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17">
    <w:name w:val="Index 1"/>
    <w:basedOn w:val="Normal"/>
    <w:next w:val="Normal"/>
    <w:pPr>
      <w:ind w:left="220" w:hanging="220"/>
    </w:pPr>
    <w:rPr/>
  </w:style>
  <w:style w:type="paragraph" w:styleId="Style38">
    <w:name w:val="Схема документа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Style39">
    <w:name w:val="Содержимое таблицы"/>
    <w:basedOn w:val="Normal"/>
    <w:qFormat/>
    <w:pPr>
      <w:suppressLineNumbers/>
    </w:pPr>
    <w:rPr>
      <w:rFonts w:ascii="Calibri" w:hAnsi="Calibri" w:eastAsia="Times New Roman" w:cs="Times New Roman"/>
    </w:rPr>
  </w:style>
  <w:style w:type="paragraph" w:styleId="Default">
    <w:name w:val="Default"/>
    <w:qFormat/>
    <w:pPr>
      <w:widowControl/>
      <w:bidi w:val="0"/>
    </w:pPr>
    <w:rPr>
      <w:rFonts w:ascii="Candara" w:hAnsi="Candara" w:eastAsia="Calibri" w:cs="Candara"/>
      <w:color w:val="000000"/>
      <w:sz w:val="24"/>
      <w:szCs w:val="24"/>
      <w:lang w:val="ru-RU" w:bidi="ar-SA" w:eastAsia="zh-CN"/>
    </w:rPr>
  </w:style>
  <w:style w:type="paragraph" w:styleId="111">
    <w:name w:val="Заголовок 11"/>
    <w:basedOn w:val="Normal"/>
    <w:next w:val="Normal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213">
    <w:name w:val="Заголовок 21"/>
    <w:basedOn w:val="Normal"/>
    <w:next w:val="Normal"/>
    <w:qFormat/>
    <w:pPr>
      <w:keepNext w:val="true"/>
      <w:widowControl w:val="false"/>
      <w:numPr>
        <w:ilvl w:val="0"/>
        <w:numId w:val="1"/>
      </w:numPr>
      <w:suppressAutoHyphens w:val="true"/>
      <w:spacing w:lineRule="auto" w:line="240" w:before="0" w:after="0"/>
      <w:jc w:val="both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312">
    <w:name w:val="Заголовок 3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41">
    <w:name w:val="Заголовок 41"/>
    <w:basedOn w:val="312"/>
    <w:next w:val="Normal"/>
    <w:qFormat/>
    <w:pPr>
      <w:keepNext w:val="false"/>
      <w:widowControl w:val="false"/>
      <w:numPr>
        <w:ilvl w:val="0"/>
        <w:numId w:val="1"/>
      </w:numPr>
      <w:spacing w:lineRule="auto" w:line="240" w:before="0" w:after="0"/>
      <w:jc w:val="both"/>
      <w:outlineLvl w:val="3"/>
    </w:pPr>
    <w:rPr>
      <w:rFonts w:ascii="Arial" w:hAnsi="Arial" w:cs="Arial"/>
      <w:b w:val="false"/>
      <w:bCs w:val="false"/>
      <w:sz w:val="24"/>
      <w:szCs w:val="24"/>
    </w:rPr>
  </w:style>
  <w:style w:type="paragraph" w:styleId="51">
    <w:name w:val="Заголовок 51"/>
    <w:basedOn w:val="Normal"/>
    <w:next w:val="Normal"/>
    <w:qFormat/>
    <w:pPr>
      <w:numPr>
        <w:ilvl w:val="0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18">
    <w:name w:val="Заголовок1"/>
    <w:basedOn w:val="Normal"/>
    <w:next w:val="Style29"/>
    <w:qFormat/>
    <w:pPr>
      <w:keepNext w:val="true"/>
      <w:suppressAutoHyphens w:val="true"/>
      <w:spacing w:before="240" w:after="120"/>
    </w:pPr>
    <w:rPr>
      <w:rFonts w:ascii="DejaVu Sans" w:hAnsi="DejaVu Sans" w:eastAsia="Droid Sans Fallback" w:cs="Droid Sans Devanagari;Times New Roman"/>
      <w:sz w:val="28"/>
      <w:szCs w:val="28"/>
      <w:lang w:eastAsia="zh-CN"/>
    </w:rPr>
  </w:style>
  <w:style w:type="paragraph" w:styleId="19">
    <w:name w:val="Название объекта1"/>
    <w:basedOn w:val="Normal"/>
    <w:qFormat/>
    <w:pPr>
      <w:suppressLineNumbers/>
      <w:suppressAutoHyphens w:val="true"/>
      <w:spacing w:before="120" w:after="120"/>
    </w:pPr>
    <w:rPr>
      <w:rFonts w:cs="Droid Sans Devanagari;Times New Roman"/>
      <w:i/>
      <w:iCs/>
      <w:sz w:val="24"/>
      <w:szCs w:val="24"/>
      <w:lang w:eastAsia="zh-CN"/>
    </w:rPr>
  </w:style>
  <w:style w:type="paragraph" w:styleId="Style40">
    <w:name w:val="Index Heading"/>
    <w:basedOn w:val="Normal"/>
    <w:pPr>
      <w:suppressLineNumbers/>
      <w:suppressAutoHyphens w:val="true"/>
    </w:pPr>
    <w:rPr>
      <w:rFonts w:cs="Droid Sans Devanagari;Times New Roman"/>
      <w:lang w:eastAsia="zh-CN"/>
    </w:rPr>
  </w:style>
  <w:style w:type="paragraph" w:styleId="Style41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Droid Sans Devanagari;Times New Roman"/>
      <w:i/>
      <w:iCs/>
      <w:sz w:val="24"/>
      <w:szCs w:val="24"/>
      <w:lang w:eastAsia="zh-CN"/>
    </w:rPr>
  </w:style>
  <w:style w:type="paragraph" w:styleId="ConsPlusCell">
    <w:name w:val="ConsPlusCel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/>
      <w:suppressAutoHyphens w:val="true"/>
      <w:bidi w:val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110">
    <w:name w:val="Обычный (веб)1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styleId="Style51">
    <w:name w:val="Style5"/>
    <w:basedOn w:val="Normal"/>
    <w:qFormat/>
    <w:pPr>
      <w:widowControl w:val="false"/>
      <w:suppressAutoHyphens w:val="true"/>
      <w:spacing w:lineRule="exact" w:line="322" w:before="0" w:after="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Style61">
    <w:name w:val="Style6"/>
    <w:basedOn w:val="Normal"/>
    <w:qFormat/>
    <w:pPr>
      <w:widowControl w:val="false"/>
      <w:suppressAutoHyphens w:val="true"/>
      <w:spacing w:lineRule="exact" w:line="325" w:before="0" w:after="0"/>
      <w:ind w:firstLine="715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112">
    <w:name w:val="Указатель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Style42">
    <w:name w:val="Абзац списка"/>
    <w:basedOn w:val="Normal"/>
    <w:qFormat/>
    <w:pPr>
      <w:suppressAutoHyphens w:val="true"/>
      <w:spacing w:before="0" w:after="200"/>
      <w:ind w:left="720" w:hanging="0"/>
      <w:contextualSpacing/>
    </w:pPr>
    <w:rPr>
      <w:lang w:eastAsia="zh-CN"/>
    </w:rPr>
  </w:style>
  <w:style w:type="paragraph" w:styleId="Style43">
    <w:name w:val="Верхний и нижний колонтитулы"/>
    <w:basedOn w:val="Normal"/>
    <w:qFormat/>
    <w:pPr>
      <w:suppressAutoHyphens w:val="true"/>
    </w:pPr>
    <w:rPr>
      <w:lang w:eastAsia="zh-CN"/>
    </w:rPr>
  </w:style>
  <w:style w:type="paragraph" w:styleId="113">
    <w:name w:val="Верхний колонтитул1"/>
    <w:basedOn w:val="Normal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cs="Times New Roman"/>
      <w:sz w:val="28"/>
      <w:szCs w:val="24"/>
      <w:lang w:eastAsia="zh-CN"/>
    </w:rPr>
  </w:style>
  <w:style w:type="paragraph" w:styleId="32">
    <w:name w:val="Основной текст с отступом 3"/>
    <w:basedOn w:val="Normal"/>
    <w:qFormat/>
    <w:pPr>
      <w:suppressAutoHyphens w:val="true"/>
      <w:spacing w:lineRule="auto" w:line="240" w:before="0" w:after="0"/>
      <w:ind w:firstLine="84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paragraph" w:styleId="Style44">
    <w:name w:val="Body Text Indent"/>
    <w:basedOn w:val="Normal"/>
    <w:pPr>
      <w:suppressAutoHyphens w:val="true"/>
      <w:spacing w:lineRule="auto" w:line="240" w:before="0" w:after="0"/>
      <w:ind w:firstLine="70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paragraph" w:styleId="23">
    <w:name w:val="Основной текст с отступом 2"/>
    <w:basedOn w:val="Normal"/>
    <w:qFormat/>
    <w:pPr>
      <w:suppressAutoHyphens w:val="true"/>
      <w:spacing w:lineRule="auto" w:line="240" w:before="0" w:after="0"/>
      <w:ind w:firstLine="700"/>
      <w:jc w:val="both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paragraph" w:styleId="24">
    <w:name w:val="Основной текст 2"/>
    <w:basedOn w:val="Normal"/>
    <w:qFormat/>
    <w:pPr>
      <w:suppressAutoHyphens w:val="true"/>
      <w:spacing w:lineRule="auto" w:line="480" w:before="0" w:after="120"/>
    </w:pPr>
    <w:rPr>
      <w:rFonts w:ascii="Times New Roman" w:hAnsi="Times New Roman" w:cs="Times New Roman"/>
      <w:sz w:val="28"/>
      <w:szCs w:val="20"/>
      <w:lang w:eastAsia="zh-CN"/>
    </w:rPr>
  </w:style>
  <w:style w:type="paragraph" w:styleId="114">
    <w:name w:val="Текст сноски1"/>
    <w:basedOn w:val="Normal"/>
    <w:qFormat/>
    <w:pPr>
      <w:suppressAutoHyphens w:val="true"/>
      <w:spacing w:lineRule="auto" w:line="240"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115">
    <w:name w:val="Нижний колонтитул1"/>
    <w:basedOn w:val="Normal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cs="Times New Roman"/>
      <w:sz w:val="28"/>
      <w:szCs w:val="20"/>
      <w:lang w:eastAsia="zh-CN"/>
    </w:rPr>
  </w:style>
  <w:style w:type="paragraph" w:styleId="116">
    <w:name w:val="Знак Знак Знак1 Знак Знак Знак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zh-CN"/>
    </w:rPr>
  </w:style>
  <w:style w:type="paragraph" w:styleId="117">
    <w:name w:val="Текст концевой сноски1"/>
    <w:basedOn w:val="Normal"/>
    <w:qFormat/>
    <w:pPr>
      <w:suppressAutoHyphens w:val="true"/>
      <w:spacing w:lineRule="auto" w:line="240"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Style45">
    <w:name w:val="Знак"/>
    <w:basedOn w:val="Normal"/>
    <w:qFormat/>
    <w:pPr>
      <w:suppressAutoHyphens w:val="true"/>
      <w:spacing w:lineRule="auto" w:line="240" w:before="0" w:after="0"/>
    </w:pPr>
    <w:rPr>
      <w:rFonts w:ascii="Verdana" w:hAnsi="Verdana" w:cs="Verdana"/>
      <w:sz w:val="20"/>
      <w:szCs w:val="20"/>
      <w:lang w:val="en-US" w:eastAsia="zh-CN"/>
    </w:rPr>
  </w:style>
  <w:style w:type="paragraph" w:styleId="-1">
    <w:name w:val="Т-1"/>
    <w:basedOn w:val="Normal"/>
    <w:qFormat/>
    <w:pPr>
      <w:suppressAutoHyphens w:val="true"/>
      <w:spacing w:lineRule="auto" w:line="360" w:before="0" w:after="0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styleId="ConsNormal">
    <w:name w:val="ConsNormal"/>
    <w:qFormat/>
    <w:pPr>
      <w:widowControl w:val="false"/>
      <w:suppressAutoHyphens w:val="true"/>
      <w:bidi w:val="0"/>
      <w:ind w:right="19772" w:firstLine="720"/>
      <w:jc w:val="both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6">
    <w:name w:val="Содержимое врезки"/>
    <w:basedOn w:val="Style29"/>
    <w:qFormat/>
    <w:pPr>
      <w:widowControl w:val="false"/>
      <w:suppressAutoHyphens w:val="true"/>
    </w:pPr>
    <w:rPr>
      <w:rFonts w:eastAsia="Lucida Sans Unicode"/>
      <w:szCs w:val="20"/>
      <w:lang w:eastAsia="zh-CN"/>
    </w:rPr>
  </w:style>
  <w:style w:type="paragraph" w:styleId="Style47">
    <w:name w:val="Заголовок таблицы"/>
    <w:basedOn w:val="Normal"/>
    <w:qFormat/>
    <w:pPr>
      <w:widowControl w:val="false"/>
      <w:suppressLineNumbers/>
      <w:suppressAutoHyphens w:val="true"/>
      <w:spacing w:lineRule="auto" w:line="240" w:before="0" w:after="0"/>
      <w:jc w:val="center"/>
    </w:pPr>
    <w:rPr>
      <w:rFonts w:ascii="Times New Roman" w:hAnsi="Times New Roman" w:eastAsia="Lucida Sans Unicode" w:cs="Times New Roman"/>
      <w:b/>
      <w:bCs/>
      <w:i/>
      <w:iCs/>
      <w:sz w:val="24"/>
      <w:szCs w:val="20"/>
      <w:lang w:eastAsia="zh-CN"/>
    </w:rPr>
  </w:style>
  <w:style w:type="paragraph" w:styleId="118">
    <w:name w:val="Без интервала1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322" w:before="0" w:after="0"/>
      <w:ind w:firstLine="706"/>
    </w:pPr>
    <w:rPr>
      <w:rFonts w:cs="Calibri"/>
      <w:sz w:val="24"/>
      <w:szCs w:val="24"/>
    </w:rPr>
  </w:style>
  <w:style w:type="paragraph" w:styleId="6">
    <w:name w:val="Знак Знак6 Знак Знак Знак Знак Знак Знак Знак Знак Знак Знак"/>
    <w:basedOn w:val="Normal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52">
    <w:name w:val="Знак Знак5"/>
    <w:basedOn w:val="Normal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119">
    <w:name w:val="Знак Знак1 Знак Знак Знак Знак"/>
    <w:basedOn w:val="Normal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120">
    <w:name w:val="Знак Знак1 Знак Знак Знак Знак Знак Знак"/>
    <w:basedOn w:val="Normal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dokumenty/postanovleniya/postanovleniya-mart-2023g/&#8470; 345 &#1086;&#1090; 15 03 2023.doc" TargetMode="External"/><Relationship Id="rId3" Type="http://schemas.openxmlformats.org/officeDocument/2006/relationships/hyperlink" Target="http://petrgosk.ru/dokumenty/postanovleniya/postanovleniya-iyul-2023g/&#8470; 1148 &#1086;&#1090; 20 07 2023.doc" TargetMode="External"/><Relationship Id="rId4" Type="http://schemas.openxmlformats.org/officeDocument/2006/relationships/hyperlink" Target="http://petrgosk.ru/dokumenty/postanovleniya/postanovleniya-noyabr-2023g/&#8470;1999 &#1086;&#1090; 28 11 2023.doc" TargetMode="External"/><Relationship Id="rId5" Type="http://schemas.openxmlformats.org/officeDocument/2006/relationships/hyperlink" Target="consultantplus://offline/ref=B53B5C4835FD56C51A633120F1AF30F2DE8C417B7CA41F661E2A5ACC1465A352D3F76134C824AD25b408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295</TotalTime>
  <Application>LibreOffice/7.5.7.1$Linux_X86_64 LibreOffice_project/50$Build-1</Application>
  <AppVersion>15.0000</AppVersion>
  <Pages>47</Pages>
  <Words>7812</Words>
  <Characters>56644</Characters>
  <CharactersWithSpaces>63289</CharactersWithSpaces>
  <Paragraphs>1645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2024-01-26T15:15:00Z</dcterms:created>
  <dc:creator>Отдел экономичесого развития</dc:creator>
  <dc:description/>
  <cp:keywords/>
  <dc:language>ru-RU</dc:language>
  <cp:lastModifiedBy/>
  <cp:lastPrinted>2024-01-30T15:25:00Z</cp:lastPrinted>
  <dcterms:modified xsi:type="dcterms:W3CDTF">2024-01-30T16:47:16Z</dcterms:modified>
  <cp:revision>27</cp:revision>
  <dc:subject/>
  <dc:title/>
</cp:coreProperties>
</file>