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</w:t>
      </w:r>
    </w:p>
    <w:p>
      <w:pPr>
        <w:pStyle w:val="Title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Title"/>
        <w:rPr>
          <w:sz w:val="24"/>
        </w:rPr>
      </w:pPr>
      <w:r>
        <w:rPr>
          <w:sz w:val="24"/>
        </w:rPr>
        <w:t xml:space="preserve">АДМИ</w:t>
      </w:r>
      <w:r>
        <w:rPr>
          <w:sz w:val="24"/>
        </w:rPr>
        <w:t xml:space="preserve">НИСТРАЦИИ ПЕТРОВСКОГО МУНИЦИПАЛЬНОГО</w:t>
      </w:r>
      <w:r>
        <w:rPr>
          <w:sz w:val="24"/>
        </w:rPr>
        <w:t xml:space="preserve"> ОКРУГА</w:t>
      </w:r>
    </w:p>
    <w:p>
      <w:pPr>
        <w:pStyle w:val="Title"/>
        <w:rPr>
          <w:sz w:val="24"/>
        </w:rPr>
      </w:pPr>
      <w:r>
        <w:rPr>
          <w:sz w:val="24"/>
        </w:rPr>
        <w:t xml:space="preserve">СТАВРОПОЛЬСКОГО КРАЯ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</w:t>
      </w:r>
      <w:r>
        <w:rPr>
          <w:rFonts w:ascii="Times New Roman" w:hAnsi="Times New Roman"/>
          <w:sz w:val="28"/>
        </w:rPr>
        <w:t xml:space="preserve">б утверждении Положения </w:t>
      </w:r>
      <w:r>
        <w:rPr>
          <w:rFonts w:ascii="Times New Roman" w:hAnsi="Times New Roman"/>
          <w:sz w:val="28"/>
          <w:szCs w:val="28"/>
        </w:rPr>
        <w:t xml:space="preserve">об общественном совете по проведению независимой оценки качества условий осуществления образовательной деятельности, осуществляемой муниципальными образовательными орга</w:t>
      </w:r>
      <w:r>
        <w:rPr>
          <w:rFonts w:ascii="Times New Roman" w:hAnsi="Times New Roman"/>
          <w:sz w:val="28"/>
          <w:szCs w:val="28"/>
        </w:rPr>
        <w:t xml:space="preserve">низациями Петровского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Федеральными законами от 06 октября 2003 года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от 21 июля 2014 года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212-ФЗ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основах общественного контроля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29 декабря 2012 года №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проведения независимой оценки качества условий осуществления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осуществляемой муниципальными образовательными организациями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</w:t>
      </w:r>
      <w:r>
        <w:rPr>
          <w:rFonts w:ascii="Times New Roman" w:hAnsi="Times New Roman"/>
          <w:color w:val="000000"/>
          <w:sz w:val="28"/>
          <w:szCs w:val="28"/>
        </w:rPr>
        <w:t xml:space="preserve">истрация Петровского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ПОСТАНОВЛЯЕТ: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Утвердить Положение об общественном совете </w:t>
      </w:r>
      <w:r>
        <w:rPr>
          <w:sz w:val="28"/>
          <w:szCs w:val="28"/>
        </w:rPr>
        <w:t xml:space="preserve">по проведению независимой оценки качества условий осуществления образовательной деятельности, осуществляемой муниципальными образовательными орга</w:t>
      </w:r>
      <w:r>
        <w:rPr>
          <w:sz w:val="28"/>
          <w:szCs w:val="28"/>
        </w:rPr>
        <w:t xml:space="preserve">низациями Петровского 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согласно приложению.</w:t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Признать утратившими силу постановления администрации Петровского городского округа Ставропольского края: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03 августа 2018 г. № 1339</w:t>
      </w:r>
      <w:r>
        <w:rPr>
          <w:sz w:val="28"/>
          <w:szCs w:val="28"/>
        </w:rPr>
        <w:t xml:space="preserve"> «</w:t>
      </w:r>
      <w:r>
        <w:rPr>
          <w:sz w:val="28"/>
        </w:rPr>
        <w:t xml:space="preserve">О</w:t>
      </w:r>
      <w:r>
        <w:rPr>
          <w:sz w:val="28"/>
        </w:rPr>
        <w:t xml:space="preserve">б утверждении Положения </w:t>
      </w:r>
      <w:r>
        <w:rPr>
          <w:sz w:val="28"/>
          <w:szCs w:val="28"/>
        </w:rPr>
        <w:t xml:space="preserve">об общественном совете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 Петровского городского округа Ставропольского края</w:t>
      </w:r>
      <w:r>
        <w:rPr>
          <w:sz w:val="28"/>
          <w:szCs w:val="28"/>
        </w:rPr>
        <w:t xml:space="preserve">»;</w:t>
      </w:r>
    </w:p>
    <w:p>
      <w:pPr>
        <w:pStyle w:val="User"/>
        <w:ind w:firstLine="708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от 17 мая 2022 г. № 755</w:t>
      </w:r>
      <w:r>
        <w:rPr>
          <w:sz w:val="28"/>
          <w:szCs w:val="28"/>
        </w:rPr>
        <w:t xml:space="preserve"> «О внесении изменений в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Положение </w:t>
      </w:r>
      <w:r>
        <w:rPr>
          <w:sz w:val="28"/>
          <w:szCs w:val="28"/>
        </w:rPr>
        <w:t xml:space="preserve">об общественном совете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 Петровского городского округа Ставропольского края</w:t>
      </w:r>
      <w:r>
        <w:rPr>
          <w:sz w:val="28"/>
          <w:szCs w:val="28"/>
        </w:rPr>
        <w:t xml:space="preserve">, утвержденное постановлением </w:t>
      </w:r>
      <w:r>
        <w:rPr>
          <w:sz w:val="28"/>
          <w:szCs w:val="28"/>
        </w:rPr>
        <w:t xml:space="preserve">администрации Петровского городского округа Ставропольского края</w:t>
      </w:r>
      <w:r>
        <w:rPr>
          <w:sz w:val="28"/>
          <w:szCs w:val="28"/>
        </w:rPr>
        <w:t xml:space="preserve"> от 03 августа 2018 г. № 1339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rFonts w:ascii="Calibri" w:hAnsi="Calibri"/>
          <w:sz w:val="28"/>
          <w:szCs w:val="28"/>
        </w:rPr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Разместить настоящее постановление на официальном сайте администрации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в информационно-телекоммуникационной сети «Интернет».</w:t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Сергееву Е.И</w:t>
      </w:r>
      <w:r>
        <w:rPr>
          <w:sz w:val="28"/>
          <w:szCs w:val="28"/>
        </w:rPr>
        <w:t xml:space="preserve">.</w:t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«Об утверждении Положения об общественном совете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края» </w:t>
      </w:r>
      <w:r>
        <w:rPr>
          <w:sz w:val="28"/>
          <w:szCs w:val="28"/>
        </w:rPr>
        <w:t xml:space="preserve">вступает в силу со дня его опубликования в газете </w:t>
      </w:r>
      <w:r>
        <w:rPr>
          <w:sz w:val="28"/>
          <w:szCs w:val="28"/>
        </w:rPr>
        <w:t xml:space="preserve">«Вестник Петровского муниципального </w:t>
      </w:r>
      <w:r>
        <w:rPr>
          <w:sz w:val="28"/>
          <w:szCs w:val="28"/>
        </w:rPr>
        <w:t xml:space="preserve">округа».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Петровского </w:t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</w:t>
      </w:r>
      <w:r>
        <w:rPr>
          <w:rFonts w:ascii="Times New Roman" w:hAnsi="Times New Roman"/>
          <w:sz w:val="28"/>
        </w:rPr>
        <w:t xml:space="preserve"> округа</w:t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                                                </w:t>
      </w:r>
      <w:r>
        <w:rPr>
          <w:rFonts w:ascii="Times New Roman" w:hAnsi="Times New Roman"/>
          <w:sz w:val="28"/>
        </w:rPr>
        <w:t xml:space="preserve">                  Н.В.Конкина</w:t>
      </w: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22"/>
        <w:gridCol w:w="4533"/>
      </w:tblGrid>
      <w:tr>
        <w:tc>
          <w:tcPr>
            <w:tcW w:w="48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</w:p>
        </w:tc>
        <w:tc>
          <w:tcPr>
            <w:tcW w:w="453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</w:t>
            </w:r>
          </w:p>
        </w:tc>
      </w:tr>
      <w:tr>
        <w:tc>
          <w:tcPr>
            <w:tcW w:w="48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53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Петровского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>
        <w:tc>
          <w:tcPr>
            <w:tcW w:w="48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53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</w:t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общественно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Общественный совет </w:t>
      </w:r>
      <w:r>
        <w:rPr>
          <w:sz w:val="28"/>
          <w:szCs w:val="28"/>
        </w:rPr>
        <w:t xml:space="preserve">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 xml:space="preserve">- Общественный совет</w:t>
      </w:r>
      <w:r>
        <w:rPr>
          <w:sz w:val="28"/>
          <w:szCs w:val="28"/>
        </w:rPr>
        <w:t xml:space="preserve">, организация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является постоянно действующим совещательным органом, </w:t>
      </w:r>
      <w:r>
        <w:rPr>
          <w:sz w:val="28"/>
          <w:szCs w:val="28"/>
        </w:rPr>
        <w:t xml:space="preserve">создан</w:t>
      </w:r>
      <w:r>
        <w:rPr>
          <w:sz w:val="28"/>
          <w:szCs w:val="28"/>
        </w:rPr>
        <w:t xml:space="preserve">ным</w:t>
      </w:r>
      <w:r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общественном совете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 в целях проведения независимой оценки качества условий осуществления образовательной деятельности организациями.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езависимая оценка качества условий осуществления образовательной деятельности организациями проводится Общественным советом не чаще чем один раз в год и не реже чем один раз в три года в отношении одной и той же организации.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Общественный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>
        <w:rPr>
          <w:sz w:val="28"/>
          <w:szCs w:val="28"/>
        </w:rPr>
        <w:t xml:space="preserve">нормативными правовыми актами Министерства </w:t>
      </w:r>
      <w:r>
        <w:rPr>
          <w:sz w:val="28"/>
          <w:szCs w:val="28"/>
        </w:rPr>
        <w:t xml:space="preserve">просвещения</w:t>
      </w:r>
      <w:r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инистерства образования Ставропольского края</w:t>
      </w:r>
      <w:r>
        <w:rPr>
          <w:sz w:val="28"/>
          <w:szCs w:val="28"/>
        </w:rPr>
        <w:t xml:space="preserve">,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 и настоящим Положением.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Общественный совет: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перечень организаций, в отношении которых проводится независимая оценка качества условий осуществления образовательной деятельности;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участие в рассмотрении проектов документации о закупках работ, услуг, а также проекта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контракта, заключаемого </w:t>
      </w:r>
      <w:r>
        <w:rPr>
          <w:sz w:val="28"/>
          <w:szCs w:val="28"/>
        </w:rPr>
        <w:t xml:space="preserve">администрацией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с организацией, которая осуществляет сбор и обобщение информации о качестве условий осуществления образовательной деятельности организациями (далее - оператор);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решение по предложению администрации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об определении муниципального учреждения в качестве оператора в рамках муниципального задания, если  муниципальное учреждение отвечает требованиям, установленным к оператору с учетом предложений общественного совета, а выполнение тех или иных работ в качестве оператора для целей проведения независимой оценки качества оказания услуг соответствует предусмотренным его учредительными документами основным видам деятельности;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независимую оценку качества условий осуществления образовательной деятельности организациями с учетом информации, представленной оператором;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представляет в </w:t>
      </w:r>
      <w:r>
        <w:rPr>
          <w:sz w:val="28"/>
          <w:szCs w:val="28"/>
        </w:rPr>
        <w:t xml:space="preserve">администрацию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Общественный совет для реализации возложенных на него функций вправе: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привлекать к своей работе представителей общественных объединений, осуществляющих деятельность в сфере образования, для обсуждения и формирования результатов независимой оценки качества условий осуществления образовательной деятельности организациями;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направлять запросы в заинтересованные государственные органы, органы </w:t>
      </w:r>
      <w:r>
        <w:rPr>
          <w:sz w:val="28"/>
          <w:szCs w:val="28"/>
        </w:rPr>
        <w:t xml:space="preserve">местного самоуправления</w:t>
      </w:r>
      <w:r>
        <w:rPr>
          <w:sz w:val="28"/>
          <w:szCs w:val="28"/>
        </w:rPr>
        <w:t xml:space="preserve">, общественные, образовательные и иные организации;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приглашать на заседания Общественного совета руководителей </w:t>
      </w:r>
      <w:r>
        <w:rPr>
          <w:sz w:val="28"/>
          <w:szCs w:val="28"/>
        </w:rPr>
        <w:t xml:space="preserve">отделов и органов администрации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, а также представителей заинтересованных общественных, образовательных и иных организаций;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взаимодействовать с </w:t>
      </w:r>
      <w:r>
        <w:rPr>
          <w:sz w:val="28"/>
          <w:szCs w:val="28"/>
        </w:rPr>
        <w:t xml:space="preserve">администрацией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по вопросам проведения независимой оценки условий осуществления образовательной деятельности организациями.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Общественный совет формируется Общественн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советом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обращению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не позднее чем в месячный срок со дня получения указанного обращения из числа представителей общественных организаций, созданных в целях защиты прав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интересов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и (или) родителей (законных представителей) несовершеннолетних обучающихся, общественных объединений инвалидов. </w:t>
      </w:r>
      <w:r>
        <w:rPr>
          <w:sz w:val="28"/>
          <w:szCs w:val="28"/>
        </w:rPr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Общественного совета не могут входить представители органов государственной власти и органов местн</w:t>
      </w:r>
      <w:r>
        <w:rPr>
          <w:sz w:val="28"/>
          <w:szCs w:val="28"/>
        </w:rPr>
        <w:t xml:space="preserve">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сфере образования.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Числ</w:t>
      </w:r>
      <w:r>
        <w:rPr>
          <w:sz w:val="28"/>
          <w:szCs w:val="28"/>
        </w:rPr>
        <w:t xml:space="preserve">о членов</w:t>
      </w:r>
      <w:r>
        <w:rPr>
          <w:sz w:val="28"/>
          <w:szCs w:val="28"/>
        </w:rPr>
        <w:t xml:space="preserve"> Общественного совета </w:t>
      </w:r>
      <w:r>
        <w:rPr>
          <w:sz w:val="28"/>
          <w:szCs w:val="28"/>
        </w:rPr>
        <w:t xml:space="preserve">должно быть не менее пяти</w:t>
      </w:r>
      <w:r>
        <w:rPr>
          <w:sz w:val="28"/>
          <w:szCs w:val="28"/>
        </w:rPr>
        <w:t xml:space="preserve"> человек.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Состав Общественного совета утверждается Общественн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советом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сроком на три года. При формировании Общественного совета на новый срок осуществляется изменение не менее трети его состава.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</w:t>
      </w:r>
      <w:r>
        <w:rPr>
          <w:sz w:val="28"/>
          <w:szCs w:val="28"/>
        </w:rPr>
        <w:t xml:space="preserve">ый совет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информирует </w:t>
      </w:r>
      <w:r>
        <w:rPr>
          <w:sz w:val="28"/>
          <w:szCs w:val="28"/>
        </w:rPr>
        <w:t xml:space="preserve">администрацию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</w:t>
      </w:r>
      <w:r>
        <w:rPr>
          <w:sz w:val="28"/>
          <w:szCs w:val="28"/>
        </w:rPr>
        <w:t xml:space="preserve"> края </w:t>
      </w:r>
      <w:r>
        <w:rPr>
          <w:sz w:val="28"/>
          <w:szCs w:val="28"/>
        </w:rPr>
        <w:t xml:space="preserve">о составе Общественного совета.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Основной формой деятельности Общественного совета являются заседания. Заседания Общественного совета проводятся по мере необходимости, но не реже одного раза в </w:t>
      </w:r>
      <w:r>
        <w:rPr>
          <w:sz w:val="28"/>
          <w:szCs w:val="28"/>
        </w:rPr>
        <w:t xml:space="preserve">полугодие</w:t>
      </w:r>
      <w:r>
        <w:rPr>
          <w:sz w:val="28"/>
          <w:szCs w:val="28"/>
        </w:rPr>
        <w:t xml:space="preserve">, и считаются правомочными в случае присутствия на нем не менее половины лиц, входящих в состав Общественного совета. По решению председателя Общественного совета может быть проведено внеочередное заседание Общественного совета.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Общественный совет осуществляет свою деятельность в соответствии с ежегодным планом деятельности, утверждаемым председателем Общественного совета и согласованным с </w:t>
      </w:r>
      <w:r>
        <w:rPr>
          <w:sz w:val="28"/>
          <w:szCs w:val="28"/>
        </w:rPr>
        <w:t xml:space="preserve">главой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Решения Общественного совета принимаются открытым голосованием. Решение считается принятым, если за него проголосовало большинство лиц, входящих в состав Общественного совета и присутствующих на заседании Общественного совета. При равенстве голосов решающим является голос председательствующего на заседании Общественного совета. В случае несогласия с принятым на заседании Общественного совета решением член Общественного совета вправе изложить в письменной форме свое мнение, которое подлежит обязательному приобщению к протоколу заседания Общественного совета.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Решения Общественного совета могут быть приняты без созыва заседания Общественного совета путем проведения заочного голосования большинством голосов от общего числа лиц, входящих в состав Общественного совета и участвующих в заочном голосовании. На заочное голосование могут быть вынесены все вопросы, решение которых осуществляется в рамках реализации задач, возложенных на Общественный совет. Решение о проведении заочного голосования принимается председателем Общественного совета.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Заочное голосование осуществляется путем заполнения членами Общественного совета опросных листов с приложением необходимых документов, направленных в их адрес заказным письмом, по электронной почте или иным способом, не позднее чем за пять рабочих дней до даты проведения заочного голосования с указанием даты окончания приема заполненных опросных листов.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Принявшими участие в заочном голосовании считаются члены Общественного совета, направившие заполненный опросный лист в адрес секретаря Общественного совета в установленный срок.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Решения Общественного совета, принятые в том числе путем проведения заочного голосования, оформляются в виде протоколов и заключений, которые подписывает председательствующий на заседании Общественного совета.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Решения Общественного совета носят рекомендательный характер.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Председатель Общественного совета: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работу Общественного совета и председательствует на его заседаниях;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подписывает протоколы заседаний Общественного совета, заключения и иные документы Общественного совета;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при участии членов Общественного совета и утверждает по согласованию с </w:t>
      </w:r>
      <w:r>
        <w:rPr>
          <w:sz w:val="28"/>
          <w:szCs w:val="28"/>
        </w:rPr>
        <w:t xml:space="preserve">главой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ежегодный план деятельности Общественного совета, утверждает повестку заседания Общественного совета, а также состав лиц, приглашаемых на заседание Общественного совета;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контролирует своевременное уведомление членов Общественного совета о дате, месте и повестке предстоящего заседания Общественного совета, а также об утвержденном ежегодном плане деятельности Общественного совета;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контролирует своевременное направление членам Общественного совета протоколов заседаний Общественного совета и иных необходимых документов;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взаимодействует с </w:t>
      </w:r>
      <w:r>
        <w:rPr>
          <w:sz w:val="28"/>
          <w:szCs w:val="28"/>
        </w:rPr>
        <w:t xml:space="preserve">руководителями отделов и органов администрации Петровского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 xml:space="preserve">по вопросам проведения независимой оценки условий осуществления образовательной деятельности организациями;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решение о проведении внеочередного заседания Общественного совета и (или) заочного голосования.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Заместител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председателя Общественного совета: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обязанности председателя Общественного совета в его отсутствие;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председателя Общественного совета председательству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на заседаниях в его отсутствие;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подписыва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протокол заседания Общественного совета в случае, если </w:t>
      </w:r>
      <w:r>
        <w:rPr>
          <w:sz w:val="28"/>
          <w:szCs w:val="28"/>
        </w:rPr>
        <w:t xml:space="preserve">он</w:t>
      </w:r>
      <w:r>
        <w:rPr>
          <w:sz w:val="28"/>
          <w:szCs w:val="28"/>
        </w:rPr>
        <w:t xml:space="preserve"> председательству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на заседании Общественного совета.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Секретарь Общественного совета: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уведомляет членов Общественного совета о дате, месте и повестке предстоящего заседания Общественного совета не менее чем за </w:t>
      </w:r>
      <w:r>
        <w:rPr>
          <w:sz w:val="28"/>
          <w:szCs w:val="28"/>
        </w:rPr>
        <w:t xml:space="preserve">три дня </w:t>
      </w:r>
      <w:r>
        <w:rPr>
          <w:sz w:val="28"/>
          <w:szCs w:val="28"/>
        </w:rPr>
        <w:t xml:space="preserve">до планируемого заседания, а также об утвержденном ежегодном плане деятельности Общественного совета;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и согласует с председателем Общественного совета проекты решений Общественного совета и иных документов Общественного совета;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 делопроизводство, оформляет, согласует с председателем Общественного совета и рассылает членам Общественного совета протоколы заседаний Общественного совета и иные необходимые документы;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проведения заседания Общественного совета в заочной форме обеспечивает направление всем членам Общественного совета необходимых документов и сбор их мнений по результатам рассмотрения указанных документов.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Члены Общественного совета: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участвуют в деятельности Общественного совета, а также в подготовке документов для рассмотрения на заседаниях Общественного совета;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знакомятся с документами, касающимися рассматриваемых вопросов, высказывают мнения по существу обсуждаемых вопросов, замечания и предложения по проектам принимаемых решений и протоколу заседания Общественного совета;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вносят предложения по формированию повестки заседания Общественного совета не менее чем за месяц до планируемой даты заседания Общественного совета;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предлагают кандидатуры представителей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бщественно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, общественных объединений, осуществляющих деятельность в сфере образования, для участия в заседаниях Общественного совета, а также для обсуждения и формирования результатов независимой оценки условий осуществления образовательной деятельности организациями;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вправе получать информацию о реализации решений Общественного совета, направленных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 xml:space="preserve">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Общественного совета обладают равными правами при обсуждении вопросов и голосовании.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Общественного совета исполняют свои обязанности на общественных началах.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 случае если выполнение функций Общественного совета может повлечь за собой конфликт интересов, при котором личная заинтересованность (прямая или косвенная) лица, входящего в состав Общественного совета, влияет или может повлиять на полноту и объективность принимаемых решений, указанное лицо обязано заявить самоотвод до начала проведения заседания.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Информация о деятельности Общественного совета подлежит размещению </w:t>
      </w:r>
      <w:r>
        <w:rPr>
          <w:sz w:val="28"/>
          <w:szCs w:val="28"/>
        </w:rPr>
        <w:t xml:space="preserve">на официальном сайте администрации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Интернет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</w:p>
    <w:p>
      <w:pPr>
        <w:pStyle w:val="Us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вправе распространять информацию о своей деятельности, в том числе через средства массовой информации.</w:t>
      </w:r>
    </w:p>
    <w:p>
      <w:pPr>
        <w:pStyle w:val="User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</w:r>
    </w:p>
    <w:p>
      <w:pPr>
        <w:pStyle w:val="User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</w:p>
    <w:p>
      <w:pPr>
        <w:pStyle w:val="User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ab/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Ю.В.Петрич</w:t>
      </w:r>
    </w:p>
    <w:sectPr>
      <w:headerReference w:type="default" r:id="rId7"/>
      <w:type w:val="nextPage"/>
      <w:pgSz w:w="11906" w:h="16838"/>
      <w:pgMar w:top="1418" w:right="62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95" w:hanging="39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Hyperlink">
    <w:name w:val="Гиперссылка"/>
    <w:basedOn w:val="NormalCharacter"/>
    <w:next w:val="Hyperlink"/>
    <w:link w:val="Normal"/>
    <w:uiPriority w:val="99"/>
    <w:unhideWhenUsed/>
    <w:rPr>
      <w:color w:val="0563c1"/>
      <w:u w:val="single"/>
    </w:rPr>
  </w:style>
  <w:style w:type="character" w:styleId="UserStyle_0">
    <w:name w:val="Заголовок 1 Знак"/>
    <w:basedOn w:val="NormalCharacter"/>
    <w:next w:val="UserStyle_0"/>
    <w:link w:val="Heading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Title">
    <w:name w:val="Название"/>
    <w:basedOn w:val="Normal"/>
    <w:next w:val="Title"/>
    <w:link w:val="UserStyle_1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UserStyle_1">
    <w:name w:val="Название Знак"/>
    <w:basedOn w:val="NormalCharacter"/>
    <w:next w:val="UserStyle_1"/>
    <w:link w:val="Title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UserStyle_2">
    <w:name w:val="ConsPlusNormal"/>
    <w:next w:val="UserStyle_2"/>
    <w:link w:val="Normal"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UserStyle_3">
    <w:name w:val="ConsNonformat"/>
    <w:next w:val="UserStyle_3"/>
    <w:link w:val="Normal"/>
    <w:pPr>
      <w:widowControl w:val="off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styleId="UserStyle_4">
    <w:name w:val="Т-1,5"/>
    <w:basedOn w:val="Normal"/>
    <w:next w:val="UserStyle_4"/>
    <w:link w:val="Normal"/>
    <w:pPr>
      <w:spacing w:after="0" w:line="36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cetate">
    <w:name w:val="Текст выноски"/>
    <w:basedOn w:val="Normal"/>
    <w:next w:val="Acetate"/>
    <w:link w:val="UserStyle_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UserStyle_5">
    <w:name w:val="Текст выноски Знак"/>
    <w:basedOn w:val="NormalCharacter"/>
    <w:next w:val="UserStyle_5"/>
    <w:link w:val="Acetate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Основной текст"/>
    <w:basedOn w:val="Normal"/>
    <w:next w:val="BodyText"/>
    <w:link w:val="UserStyle_6"/>
    <w:semiHidden/>
    <w:pPr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4"/>
      <w:lang w:eastAsia="ru-RU"/>
    </w:rPr>
  </w:style>
  <w:style w:type="character" w:styleId="UserStyle_6">
    <w:name w:val="Основной текст Знак"/>
    <w:basedOn w:val="NormalCharacter"/>
    <w:next w:val="UserStyle_6"/>
    <w:link w:val="BodyText"/>
    <w:semiHidden/>
    <w:rPr>
      <w:rFonts w:ascii="Times New Roman" w:hAnsi="Times New Roman" w:eastAsia="Times New Roman" w:cs="Times New Roman"/>
      <w:sz w:val="20"/>
      <w:szCs w:val="24"/>
      <w:lang w:eastAsia="ru-RU"/>
    </w:rPr>
  </w:style>
  <w:style w:type="paragraph" w:styleId="User">
    <w:name w:val="Без интервала"/>
    <w:next w:val="User"/>
    <w:link w:val="Normal"/>
    <w:uiPriority w:val="1"/>
    <w:qFormat/>
    <w:rPr>
      <w:rFonts w:ascii="Times New Roman" w:hAnsi="Times New Roman" w:eastAsia="Times New Roman"/>
      <w:sz w:val="24"/>
      <w:szCs w:val="24"/>
      <w:lang w:val="ru-RU" w:eastAsia="ar-SA" w:bidi="ar-SA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Header">
    <w:name w:val="Верхний колонтитул"/>
    <w:basedOn w:val="Normal"/>
    <w:next w:val="Header"/>
    <w:link w:val="UserStyle_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UserStyle_7">
    <w:name w:val="Верхний колонтитул Знак"/>
    <w:basedOn w:val="NormalCharacter"/>
    <w:next w:val="UserStyle_7"/>
    <w:link w:val="Header"/>
    <w:uiPriority w:val="99"/>
    <w:semiHidden/>
    <w:rPr>
      <w:sz w:val="22"/>
      <w:szCs w:val="22"/>
      <w:lang w:eastAsia="en-US"/>
    </w:rPr>
  </w:style>
  <w:style w:type="paragraph" w:styleId="Footer">
    <w:name w:val="Нижний колонтитул"/>
    <w:basedOn w:val="Normal"/>
    <w:next w:val="Footer"/>
    <w:link w:val="UserStyle_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UserStyle_8">
    <w:name w:val="Нижний колонтитул Знак"/>
    <w:basedOn w:val="NormalCharacter"/>
    <w:next w:val="UserStyle_8"/>
    <w:link w:val="Footer"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12939</Characters>
  <CharactersWithSpaces>15178</CharactersWithSpaces>
  <DocSecurity>0</DocSecurity>
  <HyperlinksChanged>false</HyperlinksChanged>
  <Lines>107</Lines>
  <Pages>8</Pages>
  <Paragraphs>30</Paragraphs>
  <ScaleCrop>false</ScaleCrop>
  <SharedDoc>false</SharedDoc>
  <Template>Normal</Template>
  <Words>2269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kabanova</cp:lastModifiedBy>
  <cp:revision>24</cp:revision>
  <dcterms:created xsi:type="dcterms:W3CDTF">2018-08-03T14:01:00Z</dcterms:created>
  <dcterms:modified xsi:type="dcterms:W3CDTF">2024-02-10T10:43:00Z</dcterms:modified>
  <cp:version>786432</cp:version>
</cp:coreProperties>
</file>