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40" w:before="0" w:after="0"/>
        <w:contextualSpacing/>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Типичные нарушения</w:t>
      </w:r>
    </w:p>
    <w:p>
      <w:pPr>
        <w:pStyle w:val="Normal"/>
        <w:spacing w:lineRule="exact" w:line="240" w:before="0" w:after="0"/>
        <w:contextualSpacing/>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законодательства Российской Федерации, законодательства Ставропольского края, уставов муниципальных образований, правил юридической техники, допущенные органами местного самоуправления, должностными лицами местного самоуправления при принятии (издании) муниципальных нормативных правовых актов, выявленные управлением по региональной политике аппарата Правительства Ставропольского края по результатам проведенной юридической экспертизы муниципальных нормативных правовых актов в 2022 году</w:t>
      </w:r>
    </w:p>
    <w:p>
      <w:pPr>
        <w:pStyle w:val="Normal"/>
        <w:tabs>
          <w:tab w:val="clear" w:pos="708"/>
          <w:tab w:val="left" w:pos="127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 В области муниципальной службы</w:t>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Порядок и условия предоставления ежегодного дополнительного оплачиваемого отпуска за ненормированный рабочий день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 обзорный период выявлены решения отдельных представительных органов местного самоуправления, необоснованно определяющие порядок и условия предоставления ежегодного дополнительного оплачиваемого отпуска за ненормированный рабочий день выборным должностным лицам местного самоуправления, осуществляющим полномочия на постоянной основе, а также муниципальным служащим.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5</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статьи 40 Федерального закона                                  от 06 октября 2003 г. № 131-ФЗ «Об общих принципах организации местного самоуправления в Российской Федерации» (далее – Федеральный закон              № 131-ФЗ)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В развитие указанной нормы Федерального закона № 131-ФЗ законом Ставропольского края от 29 декабря 2008 г. №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(далее – Закон № 101-кз) определены </w:t>
      </w:r>
      <w:r>
        <w:rPr>
          <w:rFonts w:cs="Times New Roman" w:ascii="Times New Roman" w:hAnsi="Times New Roman"/>
          <w:sz w:val="28"/>
          <w:szCs w:val="28"/>
        </w:rPr>
        <w:t>гарантии осуществления полномочий депутата, члена выборного органа местного самоуправления, выборного должностного лица местного самоуправления.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Пунктом 3 части 3 статьи 3 Закона № 101-кз предусмотрена возможность установления депутату, члену выборного органа местного самоуправления, выборному должностному лицу местного самоуправления уставом муниципального образования Ставропольского края дополнительной гарантии на ежегодный дополнительный оплачиваемый отпуск.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части 2 статьи 13 Закона № 101-кз депутату, члену выборного органа местного самоуправления, выборному должностному лицу местного самоуправления, осуществляющему свои полномочия на постоянной основе, может предоставляться ежегодный дополнительный оплачиваемый отпуск продолжительностью не более 13 календарных дней в соответствии с уставом муниципального образования Ставропольского края.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Возможность установления дополнительных гарантий осуществления полномочий депутатом, членом выборного органа местного самоуправления, выборным должностным лицом местного самоуправления иными муниципальными правовыми актами Законом № 101-кз не предусмотрена.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Определение </w:t>
      </w:r>
      <w:r>
        <w:rPr>
          <w:rFonts w:eastAsia="Times New Roman" w:cs="Times New Roman" w:ascii="Times New Roman" w:hAnsi="Times New Roman"/>
          <w:sz w:val="28"/>
          <w:szCs w:val="28"/>
          <w:lang w:eastAsia="ru-RU"/>
        </w:rPr>
        <w:t>порядка и условий предоставления ежегодного дополнительного оплачиваемого отпуска за ненормированный служебный день муниципальным служащим является избыточным.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части 2 статьи 3 Федерального закона от 02 марта 2007 г.               № 25-ФЗ «О муниципальной службе в Российской Федерации» (далее – Федеральный закон № 25-ФЗ) на муниципальных служащих распространяется действие трудового законодательства с особенностями, предусмотренными Федеральным законом № 25-ФЗ.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Вопросы, связанные с продолжительностью и порядком предоставления муниципальному служащему ежегодного дополнительного оплачиваемого отпуска за ненормированный служебный день, урегулированы статьей 21 Федерального закона № 25-ФЗ, главой 19 Трудового кодекса Российской Федерации (далее – Трудовой кодекс).</w:t>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1.2.</w:t>
      </w:r>
      <w:r>
        <w:rPr>
          <w:rFonts w:eastAsia="Times New Roman" w:cs="Times New Roman" w:ascii="Times New Roman" w:hAnsi="Times New Roman"/>
          <w:sz w:val="28"/>
          <w:szCs w:val="28"/>
          <w:lang w:eastAsia="ru-RU"/>
        </w:rPr>
        <w:t xml:space="preserve">Порядок ведения реестра муниципальных служащих </w:t>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со статьей 17 Федерального закона                                       от 22 октября 2004 г. № 125-ФЗ «Об архивном деле в Российской Федерации» государственные органы, органы местного самоуправления, организации и граждане, занимающиеся предпринимательской деятельностью без образования юридического лица, обязаны обеспечивать сохранность архивных документов, в том числе документов по личному составу, в течение сроков их хранения, установленных федеральными законами, иными нормативными правовыми актами Российской Федерации, а также перечнями типовых архивных документов, утвержденных</w:t>
      </w:r>
      <w:r>
        <w:rPr/>
        <w:t xml:space="preserve"> </w:t>
      </w:r>
      <w:r>
        <w:rPr>
          <w:rFonts w:cs="Times New Roman" w:ascii="Times New Roman" w:hAnsi="Times New Roman"/>
          <w:sz w:val="28"/>
          <w:szCs w:val="28"/>
        </w:rPr>
        <w:t>у</w:t>
      </w:r>
      <w:r>
        <w:rPr>
          <w:rFonts w:eastAsia="Times New Roman" w:cs="Times New Roman" w:ascii="Times New Roman" w:hAnsi="Times New Roman"/>
          <w:sz w:val="28"/>
          <w:szCs w:val="28"/>
          <w:lang w:eastAsia="ru-RU"/>
        </w:rPr>
        <w:t>полномоченным федеральным органом исполнительной власти в сфере архивного дела и делопроизводства.</w:t>
      </w:r>
      <w:r>
        <w:rPr/>
        <w:t xml:space="preserve"> </w:t>
      </w:r>
      <w:r>
        <w:rPr>
          <w:rFonts w:eastAsia="Times New Roman" w:cs="Times New Roman" w:ascii="Times New Roman" w:hAnsi="Times New Roman"/>
          <w:sz w:val="28"/>
          <w:szCs w:val="28"/>
          <w:lang w:eastAsia="ru-RU"/>
        </w:rPr>
        <w:t>Уничтожение документов Архивного фонда Российской Федерации запрещается.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Приказом Росархива от 20 декабря 2019 г. № 236 утвержден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(далее – Перечень).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статье 433 Перечня реестр муниципальных служащих относится к документам кадрового обеспечения со сроком хранения «Постоянно», подлежит передаче на постоянное хранение в архив после истечения сроков временного хранения в организации.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нарушение вышеуказанных положений федерального законодательства некоторыми муниципальными нормативными правовыми актами (далее – муниципальные НПА) предусмотрено временное хранение реестра муниципальных служащих (5 лет) с последующим его уничтожением в соответствии с порядком, установленным в органе местного самоуправления.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Издание муниципальных НПА в отсутствие соответствующей компетенции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Уставами ряда муниципальных образований осуществление правового регулирования вопросов муниципальной службы </w:t>
      </w:r>
      <w:r>
        <w:rPr>
          <w:rFonts w:eastAsia="Times New Roman" w:cs="Times New Roman" w:ascii="Times New Roman" w:hAnsi="Times New Roman"/>
          <w:sz w:val="28"/>
          <w:szCs w:val="28"/>
          <w:lang w:eastAsia="ru-RU"/>
        </w:rPr>
        <w:t>отнесено к компетенции представительного органа местного самоуправления.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Вместе с тем главами отдельных муниципальных образований в отсутствие соответствующей компетенции</w:t>
      </w:r>
      <w:r>
        <w:rPr>
          <w:rFonts w:eastAsia="Times New Roman" w:cs="Times New Roman" w:ascii="Times New Roman" w:hAnsi="Times New Roman"/>
          <w:sz w:val="28"/>
          <w:szCs w:val="28"/>
          <w:lang w:eastAsia="ru-RU"/>
        </w:rPr>
        <w:t xml:space="preserve"> изданы постановления администрации, регулирующие вопросы </w:t>
      </w:r>
      <w:r>
        <w:rPr>
          <w:rFonts w:cs="Times New Roman" w:ascii="Times New Roman" w:hAnsi="Times New Roman"/>
          <w:sz w:val="28"/>
          <w:szCs w:val="28"/>
        </w:rPr>
        <w:t>прохождения муниципальной службы (</w:t>
      </w:r>
      <w:r>
        <w:rPr>
          <w:rFonts w:eastAsia="Times New Roman" w:cs="Times New Roman" w:ascii="Times New Roman" w:hAnsi="Times New Roman"/>
          <w:sz w:val="28"/>
          <w:szCs w:val="28"/>
          <w:lang w:eastAsia="ru-RU"/>
        </w:rPr>
        <w:t xml:space="preserve">об утверждении </w:t>
      </w:r>
      <w:r>
        <w:rPr>
          <w:rFonts w:ascii="Times New Roman" w:hAnsi="Times New Roman"/>
          <w:sz w:val="28"/>
          <w:szCs w:val="28"/>
        </w:rPr>
        <w:t>положений о проведении аттестации муниципальных служащих, о кадровом резерве</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t>2. В сфере противодействия коррупции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Рядом муниципальных НПА к числу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отнесены должности председателя, заместителя председателя и аудитора контрольно-счетного органа муниципального образования.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Федеральным законом от 01 июля 2021 г. №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внесены изменения в часть 3 статьи 5 Федерального закона от 07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в соответствии с которыми должности председателя, заместителя председателя и аудитора контрольно-счетного органа муниципального образования отнесены к муниципальным должностям.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изменения внесены и в Закон Ставропольского края от 18 декабря 2007 г. № 65-кз «О Реестре должностей муниципальной службы в Ставропольском крае», исключившие должности председателя, заместителя председателя и аудитора контрольно-счетного органа муниципального образования из Реестра должностей муниципальной службы в Ставропольском крае.</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Порядок представления сведений о доходах, об имуществе и обязательствах имущественного характера гражданами, претендующими на замещение должностей муниципальной службы, сведений о доходах, расходах, об имуществе и обязательствах имущественного характера муниципальными служащими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значительном количестве муниципальных НПА при указании сведений о расходах, подлежащих представлению муниципальными служащими, не были учтены изменения, внесенные Федеральным законом  от 31 июля 2020 года № 259-ФЗ «О цифровых финансовых активах, цифровой валюте и о внесении изменений в отдельные законодательные акты Российской Федерации» в часть 4 статьи 8 Федерального закона                      от 03 декабря 2012 года № 230-ФЗ «О контроле за соответствием расходов лиц, замещающих государственные должности, и иных лиц их доходам» (далее – Федеральный закон № 230-ФЗ), дополнившие состав сведений о расходах сведениями о цифровых финансовых активах и цифровой валюте, а также изменение, внесенное Федеральным законом от 01 апреля 2022 г.               № 90-ФЗ «О внесении изменений в отдельные законодательные акты Российской Федерации» в часть 1 статьи 3 Федерального закона № 230-ФЗ, исключившее термин «акция» из перечня имущества, подлежащего декларированию в целях противодействия коррупции, в связи с тем, что акции являются одним из видов ценных бумаг.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 Порядок размещения сведений о доходах, расходах, об имуществе и обязательствах имущественного характера на официальном сайте органа местного самоуправления в информационно-телекоммуникационной сети «Интернет» и предоставления этих сведений средствам массовой информации для опубликования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Отдельными муниципальными НПА были необоснованно утверждены перечни должностей муниципальной службы в органах местного самоуправления муниципального образования,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органа местного самоуправления и представление этих сведений средствам массовой информации для опубликования.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6 статьи 8 Федерального закона                              от 25 декабря 2008 года № 273-ФЗ «О противодействии коррупции» (далее – Федеральный закон № 273-ФЗ) сведения о доходах, об имуществе и обязательствах имущественного характера, представляемые лицами, замещающими должности муниципальной службы, включенные в перечни, установленные нормативными правовыми актами Российской Федерации, размещаются в информационно-телекоммуникационной сети «Интернет» на официальных сайтах органов местного самоуправления и предоставляются для опубликования средствам массовой информации в порядке, определяемом нормативными правовыми актами Российской Федерации.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Из содержания вышеуказанных положений федерального законодательства следует, что на официальных сайтах органов местного самоуправления подлежат размещению и предоставляются средствам массовой информации для опубликования сведения о доходах, об имуществе и обязательствах имущественного характера, представляемые лицами, замещающими должности муниципальной службы, включенные в утверждаемый органом местного самоуправления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должностей).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Следовательно, утверждение дополнительно к перечню должностей перечня должностей муниципальной службы в органах местного самоуправления муниципального образования,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органа местного самоуправления и представление этих сведений средствам массовой информации для опубликования, является избыточным.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НПА, регулирующих порядок размещения сведений о доходах, расходах, об имуществе и обязательствах имущественного характера на официальном сайте органа местного самоуправления в информационно - телекоммуникационной сети «Интернет» и предоставления этих сведений средствам массовой информации для опубликования, урегулирован порядок размещения сведений о расходах руководителей муниципальных учреждений и членов их семей и предоставления этих сведений средствам массовой информации.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статьи 275 Трудового кодекса руководитель муниципального учреждения (ежегодно) обязан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Соответствующая обязанность руководителя муниципального учреждения установлена и статьей 8 Федерального закона № 273-ФЗ.</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6 статьи 8 Федерального закона № 273-ФЗ представленные руководителем муниципального учреждения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размещаются в информационно-телекоммуникационной сети «Интернет» на официальных сайтах органов местного самоуправления и предоставляются для опубликования средствам массовой информации в порядке, определяемом муниципальными правовыми актами.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Обязанность руководителей муниципальных учреждений по предоставлению сведений о своих расходах, расходах своих супруга (супруги) и несовершеннолетних детей федеральным законодательством не предусмотрена. Соответственно, не предусмотрено федеральным законодательством и размещение сведений о расходах руководителей муниципальных учреждений и членов их семей в информационно-телекоммуникационной сети «Интернет», а также предоставление этих сведений средствам массовой информации.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Следовательно, определение в муниципальных НПА порядка размещения в сети «Интернет» сведений о расходах руководителей муниципальных учреждений и членов их семей, а также порядка их предоставления средствам массовой информации является необоснованным.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значительном количестве муниципальных НПА, регулирующих порядок размещения сведений о доходах, расходах, об имуществе и обязательствах имущественного характера на официальном сайте органа местного самоуправления в информационно-телекоммуникационной сети «Интернет» и предоставления этих сведений средствам массовой информации для опубликования, не были учтены изменения, внесенные Федеральным законом от 31 июля 2020 года № 259-ФЗ «О цифровых финансовых активах, цифровой валюте и о внесении изменений в отдельные законодательные акты Российской Федерации» в часть 4 статьи 8 Федерального закона № 230-ФЗ, дополнившие состав сведений о расходах сведениями о цифровых финансовых активах и цифровой валюте.</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2.4. Порядок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некоторых муниципальных НПА порядок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 установлен только в отношении лиц, замещающих муниципальные должности на постоянной основе.</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41 статьи 12</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Указанная обязанность распространяется на всех без исключения лиц, замещающих муниципальные должности, вне зависимости от порядка исполнения ими полномочий.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Обязанность лиц, замещающих муниципальные должности на  непостоянной основе,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наравне с лицами, замещающими муниципальные должности на постоянной основе, установлена частью 4</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статьи 12</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Федерального закона № 273-ФЗ в соответствии с внесенным в нее изменением Федеральным законом                           от 03 ноября 2015 г. № 303-ФЗ «О внесении изменений в отдельные законодательные акты Российской Федерации».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2.5. Положение о комиссии по соблюдению требований к служебному поведению муниципальных служащих и урегулированию конфликта интересов</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Во многих муниципальных НПА одним из оснований для проведения заседания комиссии по соблюдению требований к служебному поведению муниципальных служащих и урегулированию конфликта интересов определено поступившее заявление муниципального служащего о невозможности выполнить требования 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не учтено следующее.</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Статьей 7</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Федерального закона № 273-ФЗ установлен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К указанным лицам отнесены в том числе главы городских округов, главы муниципальных округов и муниципальных районов, главы иных муниципальных образований, исполняющих полномочия глав местных администраций, главы местных администраций, депутаты представительных органов муниципальных районов, муниципальных округов и городских округов, осуществляющие свои полномочия на постоянной основе, депутаты, замещающие должности в представительных органах муниципальных районов, муниципальных округов и городских округов, а также члены их семей.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Аналогичные нормы содержит и часть 1 статьи 2 Федерального закона от 07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Исходя из вышеуказанных положений федерального законодательства,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установлен федеральным законодательством в отношении муниципальных служащих, замещающих должность главы местной администрации.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уставам муниципальных образований Ставропольского края местные администрации муниципальных образований возглавляют главы муниципальных образований, избираемые представительным органом муниципального образования из числа кандидатов, представленных конкурсной комиссией по результатам конкурса.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Глава муниципального образования является выборным должностным лицом местного самоуправления и в соответствии с частью 2 статьи 1 Федерального закона № 25-ФЗ не относится к муниципальным служащим.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2.6. Порядок осуществления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(в части, касающейся профилактики коррупционных правонарушений),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 установленных Федеральным законом «О противодействии коррупции» и другими нормативными правовыми актами Российской Федерации (далее – проверка)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соответствии с частью 7 статьи 8 Федерального закона                                  № 273-ФЗ проверка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порядке, устанавливаемом Президентом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Указом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(далее – Указ № 1065) органам местного самоуправления рекомендовано руководствоваться Указом № 1065 при разработке и утверждении положений о проверке.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рекомендации по утверждению положений о проверке даны органам местного самоуправления и постановлением Губернатора Ставропольского края от 09 апреля 2010 г. № 145 «О проверке достоверности и полноты сведений, представляемых гражданами Российской Федерации, претендующими на замещение государственных должностей Ставропольского края, должностей государственной гражданской службы Ставропольского края, лицами, замещающими государственные должности Ставропольского края, государственными гражданскими служащими Ставропольского края, и соблюдения государственными гражданскими служащими Ставропольского края требований к служебному поведению» (далее – постановление Губернатора № 145).</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 положениями Указа № 1065 и постановления Губернатора № 145 основанием для осуществления проверки является достаточная информация, представленная в том числе Общественной палатой Российской Федерации и Общественной палатой Ставропольского края.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некоторых муниципальных НПА круг органов и организаций, информация которых может служить основанием для проведения проверки (далее – органы), необоснованно сужен. В число органов не включены Общественная палата Российской Федерации и Общественная палата Ставропольского края, снизив таким образом эффективность установленных федеральным законодательством и законодательством Ставропольского края антикоррупционных мер.</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отдельных муниципальных НПА полномочиями по направлению запросов в кредитные организации, налоговые органы,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наделены не предусмотренные федеральным законодательством и законодательством Ставропольского края субъекты (глава муниципального образования, руководители структурных подразделений администрации, работники кадровых служб).</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пунктом 18</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Указа № 1065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системы «Посейдон») должностными лицами, перечень которых утвержден Президентом Российской Федерации.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Указом Президента Российской Федерации от 2 апреля 2013 года                № 309 «О мерах по реализации отдельных положений Федерального закона            «О противодействии коррупции» утвержден перечень должностных лиц, наделенных полномочиями по направлению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проверок в целях противодействия коррупции (далее соответственно –             Указ № 309, Перечень).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Пунктом 19 Указа № 309 установлено, что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проверок в целях противодействия коррупции, направляют (в том числе с использованием государственной информационной системы в области противодействия коррупции «Посейдон») должностные лица, включенные в названный Перечень.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свою очередь, Перечнем к числу лиц, уполномоченных на направление соответствующих запросов, отнесены высшие должностные лица (руководители высших исполнительных органов государственной власти) субъектов Российской Федерации, а также руководители органов субъектов Российской Федерации по профилактике коррупционных и иных правонарушений, специально уполномоченные высшими должностными лицами субъектов Российской Федерации и непосредственно подчиненные им.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развитие положений Указа № 309 распоряжением Губернатора Ставропольского края от 07 октября 2022 г. № 624-р «Об уполномочении отдельных должностных лиц на направление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в соответствии с федеральным законодательством и законодательством Ставропольского края о противодействии коррупции проверок» правом направления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в соответствии с федеральным законодательством и законодательством Ставропольского края о противодействии коррупции проверок в отношении граждан Российской Федерации, претендующих на замещение муниципальных должностей в Ставропольском крае и должностей муниципальной службы в Ставропольском крае, и лиц, замещающих указанные должности, наделены первые заместители (заместители) председателя Правительства Ставропольского края в соответствии с закреплением первых заместителей (заместителей) председателя Правительства Ставропольского края за муниципальными округами и городскими округами Ставропольского края для оперативного решения вопросов социально-экономического развития территорий, утверждаемым Губернатором Ставропольского края, начальник управления Губернатора Ставропольского края по профилактике коррупционных правонарушений.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Данный Перечень является исчерпывающим и расширительному толкованию не подлежит.</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Значительным количеством муниципальных НПА полномочиями по осуществлению проверки путем направления в федеральные органы исполнительной власти, уполномоченные в соответствии с частью третьей статьи 7 Федерального закона от 12 августа 1995 г. № 144-ФЗ                             «Об оперативно-розыскной деятельности» на осуществление оперативно-розыскной деятельности, запросов о проведении оперативно-розыскных мероприятий в отношении сведений, представленных муниципальным служащим, необоснованно наделены лица, ответственные за работу по профилактике коррупционных правонарушений.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согласно пункту 6 Указа Президента № 1065 при осуществлении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 сведений (в части, касающейся профилактики коррупционных правонарушений), представляемых гражданами, претендующими на замещение указанных должностей, в соответствии с нормативными правовыми актами Российской Федерации, а также о проверке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Федеральным законом № 273-ФЗ, другими федеральными законами, нормативными правовыми актами субъектов Российской Федерации и муниципальными правовыми актами, правом направлять запросы о проведении оперативно-розыскных мероприятий в соответствии с частью третьей статьи 7 Федерального закона от 12 августа 1995 г. № 144-ФЗ «Об оперативно-розыскной деятельности» наделены только высшие должностные лица (руководители высших исполнительных органов государственной власти) субъектов Российской Федерации.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Во многих муниципальных НПА, регулирующих порядок проведения проверки, выявлены несоответствия аналогичные несоответствиям, описанным в пункте 2.5 настоящего раздела Обзора, в части необоснованного определения в муниципальных НПА одним из оснований для осуществления проверки в отношении муниципальных служащих информации, представленной Центральным банком Российской Федерации, его должностными лицами, кредитными организациями, другими российскими организациями, а также иностранными банками и международными организациями в части соблюдения муниципальными служащими, их супругами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ряде муниципальных НПА, регулирующих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предусмотрена обязанность лиц, замещающих муниципальные должности, по передаче полученного подарка в орган местного самоуправления только в отношении подарков стоимостью свыше трех тысяч рублей, что не согласуется с положениями федерального законодательства.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Согласно пункту 8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09 января 2014 г.               № 10 (далее – Типовое положение), лица, замещающие муниципальные должности, обязаны сдать подарок независимо от его стоимости.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пояснения содержатся и в разъяснениях Минтруда России «По отдельным вопросам, связанным с применением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 10».</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Типичное несоответствие федеральному законодательству выявлено и в части определения стоимости подарка, подлежащего сдаче муниципальным служащим.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Согласно пункту 5 части 1 статьи 14 Федерального закона № 25-ФЗ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кодексом Российской Федерации.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 частью 2 статьи 575 Гражданского кодекса Российской Федерации и пунктом 7 Типового положения обязанность муниципального служащего по передаче полученного подарка в орган местного самоуправления возникает в отношении подарков стоимостью свыше трех тысяч рублей.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положениями отдельных муниципальных НПА на муниципальных служащих необоснованно возложена обязанность сдавать подарки, полученные в связи с протокольными мероприятиями, со служебными командировками и с другими официальными мероприятиями, независимо от их стоимости.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НПА предусмотрена обязанность всех без исключения лиц, замещающих муниципальные должности, осуществляющих свои полномочия на постоянной основе, вне зависимости от органа, в котором замещается муниципальная должность, уведомлять о получении подарка представительный орган муниципального образования и передавать на хранение полученные подарки в указанный орган, что не согласуется с пунктом 4 Типового положения.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пункту 4 Типового положения лица, замещающие муниципальные должности,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тот муниципальный орган, в котором они замещают муниципальную должность.</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Порядок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3 статьи 27</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Федерального закона                               № 25-ФЗ взыскания, предусмотренные статьями 14</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15 и 27 Федерального закона № 25-ФЗ,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части 2 статьи 13</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Закона Ставропольского края                        от 24 декабря 2007 г. № 78-кз «Об отдельных вопросах муниципальной службы в Ставропольском крае» (далее – Закон Ставропольского края              № 78-кз) за несоблюдение муниципальными служащими предусмотренных Федеральным законом № 25-ФЗ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применяются взыскания, предусмотренные статьей 27 Федерального закона № 25-ФЗ, в порядке и сроки, установленные муниципальными правовыми актами, принятыми в соответствии с нормативным правовым актом Губернатора Ставропольского края.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Пунктом 2 постановления Губернатора Ставропольского края                     от 23 мая 2017 г. № 244 «Об утверждении Положения о порядке применения взысканий за несоблюдение муниципальными служащими муниципальной службы в Ставропольском крае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(далее соответственно – постановление Губернатора Ставропольского края № 244, Положение) органам местного самоуправления муниципальных образований Ставропольского края при разработке и утверждении муниципальных нормативных правовых актов, определяющих порядок применения взысканий за несоблюдение муниципальными служащими муниципальной службы в Ставропольском крае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рекомендовано руководствоваться утвержденным постановлением Губернатора Ставропольского края № 244 Положением.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пунктом 9 данного Положения муниципальный служащий вправе обжаловать взыскание в письменной форме в комиссию органа местного самоуправления края по трудовым спорам или в суд.</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ряде муниципальных НПА круг органов, в которые можно обжаловать взыскание, необоснованно сужен. Из числа органов, в которые можно обжаловать взыскание, исключена комиссия органа местного самоуправления по трудовым спорам.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отдельных муниципальных НПА к числу органов, в которые можно обжаловать взыскание, отнесена трехсторонняя комиссия по регулированию социально-трудовых отношений.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статье 23 Трудового кодекса социальное партнерство в сфере труда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статье 27 Трудового кодекса определены следующие формы социального партнерства: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коллективные переговоры по подготовке проектов коллективных договоров, соглашений и заключению коллективных договоров, соглашений;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взаимные консультации (переговоры)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участие работников, их представителей в управлении организацией;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участие представителей работников и работодателей в разрешении трудовых споров.</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со статьей 35 Трудового кодекса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местного самоуправления.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свою очередь, в соответствии со статьями 381, 382 Трудового кодекса комиссии по трудовым спорам отнесены к органам по рассмотрению индивидуальных трудовых споров – неурегулированных разногласий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Соответственно, возложение муниципальным НПА рассмотрения индивидуального трудового спора, связанного с применением к муниципальному служащему взыскания, на трехстороннюю комиссию по регулированию социально-трудовых отношений является необоснованным.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Пунктом 5 утвержденного постановлением Губернатора Ставропольского края № 244 Положения предусмотрена возможность применения к муниципальному служащему взыскания в виде замечания при малозначительности совершенного им коррупционного правонарушения.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в отдельных муниципальных НПА условием применения к муниципальному служащему взыскания в виде замечания определена не только его малозначительность, но и обязательное рассмотрение совершенного муниципальным служащим проступка на заседании комиссии по урегулированию конфликта интересов, что не предусмотрено Положением, утвержденным постановлением Губернатора Ставропольского края № 244.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данных муниципальных НПА не учтены изменения, внесенные в постановление Губернатора Ставропольского края № 244 постановлением Губернатора Ставропольского края от 02 октября 2018 г. № 320 «О внесении изменений в Положение о порядке применения взысканий за несоблюдение муниципальными служащими муниципальной службы в Ставропольском крае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утвержденное постановлением Губернатора Ставропольского края от 23 мая 2017 г.                   № 244», предусматривающие упрощенный порядок привлечения муниципального служащего к ответственности при малозначительности совершенного им коррупционного правонарушения.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НПА не были учтены изменения, внесенные в пункт 4 Положения, утвержденного постановлением Губернатора Ставропольского края № 244, постановлением Губернатора Ставропольского края от 06 февраля 2020 года № 48 «О внесении изменения в пункт 4 Положения о порядке применения взысканий за несоблюдение муниципальными служащими муниципальной службы в Ставропольском крае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утвержденного постановлением Губернатора Ставропольского края от 23 мая 2017 г.                     № 244», исключающие из сроков, в течение которых может быть применено взыскание, периоды временной нетрудоспособности муниципального служащего, нахождения его в отпуске, а также времени производства по уголовному делу.</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2.9. Порядок получения муниципальным служащим разрешения представителя нанимателя (работодателя) на участие на безвозмездной основе в управлении некоммерческой организацией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соответствии с подпунктом «б» пункта 3 части 1 статьи 14 Федерального закона № 25-ФЗ порядок получения разрешения представителя нанимателя на участие муниципальных служащих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устанавливается законом субъекта Российской Федерации.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развитие данной правовой нормы Законом Ставропольского края                   № 78-кз определен порядок получения муниципальным служащим разрешения представителя нанимателя (работодателя) на участие на безвозмездной основе в управлении некоммерческой организацией                     (статья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на основании части 5 статьи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Закона Ставропольского края           № 78-кз заявление муниципального служащего о получении разрешения на участие на безвозмездной основе в управлении некоммерческой организацией рассматривается кадровой службой (специалистом, ответственным за работу по профилактике коррупционных и иных правонарушений) органа местного самоуправления, отраслевого (функционального) или территориального органа местной администрации, обладающего правом юридического лица, в порядке, устанавливаемом муниципальным правовым актом.</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НПА в отсутствие соответствующей компетенции утвержден порядок получения разрешения представителя нанимателя (работодателя) на участие муниципальных служащих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При проведении юридической экспертизы муниципальных НПА, принятых на основании части 5 статьи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Закона Ставропольского края                № 78-кз и определяющих порядок рассмотрения представителем нанимателя (работодателем) заявления муниципального служащего о получении разрешения на участие на безвозмездной основе в управлении некоммерческой организацией, выявлены случаи несоответствия установленного муниципальным НПА срока уведомления муниципального служащего о решении, принятом представителем нанимателя (работодателем), сроку, предусмотренному частью 8 статьи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Закона Ставропольского края № 78-кз.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части 8 статьи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Закона Ставропольского края № 78-кз представитель нанимателя (работодатель) письменно уведомляет муниципального служащего о принятом решении в течение двух рабочих дней со дня его принятия. Вместе с тем в отдельных муниципальных НПА указанный срок необоснованно увеличен до трех рабочих дней.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2.10. Порядок проведения антикоррупционной экспертизы нормативных правовых актов и их проектов</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отдельных муниципальных НПА обязанность по проведению антикоррупционной экспертизы нормативных правовых актов (проектов нормативных правовых актов), принятых (принимаемых) представительным органом, возложена на местную администрацию.</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пункту 3 части 1 статьи 3 Федерального закона                                от 17 июля 2009 г. № 172-ФЗ «Об антикоррупционной экспертизе нормативных правовых актов и проектов нормативных правовых актов» (далее – Федеральный закон № 172-ФЗ) на органы местного самоуправления возложена обязанность по проведению антикоррупционной экспертизы нормативных правовых актов (проектов нормативных правовых актов) в порядке, установленном нормативными правовыми актами соответствующих органов местного самоуправления и согласно методике, определенной Правительством Российской Федерации.</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Частью 4 статьи 3 Федерального закона № 172-ФЗ предусмотрено, что органы, организации, их должностные лица проводят антикоррупционную экспертизу принятых ими нормативных правовых актов (проектов нормативных правовых актов) при проведении их правовой экспертизы и мониторинге их применения.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Таким образом, в силу прямого указания Федерального закона                        № 172-ФЗ антикоррупционную экспертизу нормативных правовых актов (проектов нормативных правовых актов) проводят принявшие (принимающие) такие акты органы местного самоуправления.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значительном количестве муниципальных НПА выявлены пробелы в правовом регулировании отдельных правоотношений.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в одних муниципальных НПА не был определен порядок доступа институтов гражданского общества, граждан к проектам муниципальных НПА и муниципальным НПА для проведения независимой антикоррупционной экспертизы, в других – не в полной мере урегулирован порядок проведения антикоррупционной экспертизы муниципальных НПА (например, отсутствовал порядок принятия решения о ее проведении, срок проведения).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2.11.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 131-ФЗ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Рядом муниципальных НПА были определены порядки принятия решения о применении мер ответственности, предусмотренных частью 73-1 статьи 40 Федерального закона № 131-ФЗ, к председателю и заместителю председателя контрольно-счетного органа муниципального образования. </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Исходя из содержания частей 73-1 и 73-2 статьи 40 Федерального закона № 131-ФЗ, соответствующие меры ответственности применяются к депутатам, членам выборного органа местного самоуправления и выборным должностным лицам местного самоуправления, к категории которых в соответствии с положениями части 1 статьи 2 Федерального закона               № 131-ФЗ председатель и заместитель председателя контрольно-счетного органа муниципального образования не относятся.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Соответственно, меры ответственности, предусмотренные частью 73-1 статьи 40 Федерального закона № 131-ФЗ, к председателю и заместителю председателя контрольно-счетного органа муниципального образования, относящимся к лицам, замещающим муниципальную должность, но не относящимся к депутатам, членам выборного органа местного самоуправления, выборным должностным лицам местного самоуправления, не применяются.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Выявлены случаи несоответствия установленного муниципальными НПА срока принятия органом местного самоуправления муниципального образования решения о применении к депутату, выборному должностному лицу местного самоуправления меры ответственности, предусмотренной частью 73-1 статьи 40 Федерального закона № 131-ФЗ.</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15</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статьи 4 Закона Ставропольского края                 от 20 июля 2017 г. № 92-кз «О некоторых вопросах, связанных с соблюдением ограничений, запретов, исполнением обязанностей, установленных в целях противодействия коррупции, гражданами Российской Федерации, претендующими на замещение муниципальных должностей в Ставропольском крае, и лицами, замещающими муниципальные должности в Ставропольском крае» (далее – Закон № 92-кз) решение о применении к лицу, замещающему муниципальную должность, меры ответственности, предусмотренной частью 73-1 статьи 40 Федерального закона № 131-ФЗ, принимается органом местного самоуправления муниципального образования Ставропольского края, уполномоченным принимать соответствующее решение, в порядке, определяемом муниципальным правовым актом, в срок, не превышающий 30 календарных дней со дня поступления соответствующего заявления Губернатора Ставропольского края, а в случае поступления заявления Губернатора Ставропольского края в период между сессиями представительного органа муниципального образования, – не позднее чем через три месяца со дня поступления  заявления Губернатора Ставропольского края.</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указанный срок, установленный отдельными муниципальными НПА, не соответствует сроку, предусмотренному частью 15</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статьи 4 Закона № 92-кз.</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значительном количестве муниципальных НПА не было учтено изменение, внесенное в наименование Закона № 92-кз Законом Ставропольского края от 05 февраля 2021 г. № 8-кз «О внесении изменений в Закон Ставропольского края «О порядке представления сведений о доходах, расходах, об имуществе и обязательствах имущественного характера гражданами Российской Федерации, претендующими на замещение муниципальных должностей в Ставропольском крае, и лицами, замещающими муниципальные должности в Ставропольском крае, и порядке осуществления проверки достоверности и полноты представляемых сведений».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отдельных муниципальных НПА выявлен пробел в правовом регулировании в части неурегулированности процедуры принятия решения о применении мер ответственности, предусмотренных частью 73-1 статьи 40 Федерального закона № 131-ФЗ, в отношении председателя представительного органа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2.12. Издание муниципальных НПА в отсутствие соответствующей компетенции</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Рядом уставов муниципальных образований осуществление правового регулирования вопросов противодействия коррупции в отношении главы муниципального образования отнесено к компетенции представительного органа муниципального образования.</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в обзорном периоде выявлены отдельные постановления администрации, регулирующие в нарушение положений устава муниципального образования вопросы противодействия коррупции в отношении главы муниципального образования. </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2.13. Нарушение требований к виду правового акта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Согласно частям 4, 6 статьи 43 Федерального закона № 131-ФЗ глава муниципального образования, исполняющий полномочия главы местной администрации,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в нарушение требований статьи 43 Федерального закона               № 131-ФЗ, предъявляемых к виду муниципального правового акта, в отдельных муниципальных образованиях правоотношения в области </w:t>
      </w:r>
      <w:r>
        <w:rPr>
          <w:rFonts w:eastAsia="Times New Roman" w:cs="Arial" w:ascii="Times New Roman" w:hAnsi="Times New Roman"/>
          <w:sz w:val="28"/>
          <w:szCs w:val="28"/>
          <w:lang w:eastAsia="ru-RU"/>
        </w:rPr>
        <w:t xml:space="preserve">противодействия коррупции, отнесенные Федеральным законом № 131-ФЗ к вопросам местного значения, </w:t>
      </w:r>
      <w:r>
        <w:rPr>
          <w:rFonts w:eastAsia="Times New Roman" w:cs="Times New Roman" w:ascii="Times New Roman" w:hAnsi="Times New Roman"/>
          <w:sz w:val="28"/>
          <w:szCs w:val="28"/>
          <w:lang w:eastAsia="ru-RU"/>
        </w:rPr>
        <w:t>урегулированы распоряжением администрации муниципального образования (об утверждении перечня должностей муниципальной службы, при назначение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об утверждении перечня должностей муниципальной службы, замещение которых налагает на гражданина ограничения при заключении им трудового договора и (или) гражданско-правового договора после увольнения с муниципальной службы; об утверждении порядка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3. В области бюджетных правоотношений</w:t>
      </w:r>
    </w:p>
    <w:p>
      <w:pPr>
        <w:pStyle w:val="Normal"/>
        <w:suppressAutoHyphens w:val="true"/>
        <w:spacing w:lineRule="auto" w:line="240" w:before="0" w:after="0"/>
        <w:ind w:firstLine="709"/>
        <w:jc w:val="both"/>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 Бюджет муниципального образования</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pacing w:val="-2"/>
          <w:sz w:val="28"/>
          <w:szCs w:val="28"/>
          <w:lang w:eastAsia="ru-RU"/>
        </w:rPr>
        <w:t xml:space="preserve">● </w:t>
      </w:r>
      <w:r>
        <w:rPr>
          <w:rFonts w:eastAsia="Times New Roman" w:cs="Times New Roman" w:ascii="Times New Roman" w:hAnsi="Times New Roman"/>
          <w:spacing w:val="-2"/>
          <w:sz w:val="28"/>
          <w:szCs w:val="28"/>
          <w:lang w:eastAsia="ru-RU"/>
        </w:rPr>
        <w:t>По-прежнему встречаются нарушения, допускаемые представительными</w:t>
      </w:r>
      <w:r>
        <w:rPr>
          <w:rFonts w:eastAsia="Times New Roman" w:cs="Times New Roman" w:ascii="Times New Roman" w:hAnsi="Times New Roman"/>
          <w:sz w:val="28"/>
          <w:szCs w:val="28"/>
          <w:lang w:eastAsia="ru-RU"/>
        </w:rPr>
        <w:t xml:space="preserve"> органами местного самоуправления при принятии решений о бюджете, связанные с использованием терминологии, несоответствующей Бюджетному кодексу</w:t>
      </w:r>
      <w:r>
        <w:rPr>
          <w:rFonts w:eastAsia="Times New Roman" w:cs="Times New Roman" w:ascii="Times New Roman" w:hAnsi="Times New Roman"/>
          <w:sz w:val="28"/>
          <w:szCs w:val="24"/>
          <w:lang w:eastAsia="ru-RU"/>
        </w:rPr>
        <w:t xml:space="preserve"> Российской Федерации (далее – Бюджетный кодекс)</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частности, в решениях о бюджетах отдельных муниципальных образований применены термины «муниципальный долг» и «программа муниципальных заимствований», несоответствующие терминологии статей 107 и 110.1 Бюджетного кодекса (в</w:t>
      </w:r>
      <w:r>
        <w:rPr/>
        <w:t> </w:t>
      </w:r>
      <w:r>
        <w:rPr>
          <w:rFonts w:eastAsia="Times New Roman" w:cs="Times New Roman" w:ascii="Times New Roman" w:hAnsi="Times New Roman"/>
          <w:sz w:val="28"/>
          <w:szCs w:val="28"/>
          <w:lang w:eastAsia="ru-RU"/>
        </w:rPr>
        <w:t xml:space="preserve">редакции Федерального закона от                                             02 августа 2019 года № 278-ФЗ), в которых используются термины «муниципальный внутренний долг» и «программа муниципальных внутренних заимствований».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pacing w:val="-2"/>
          <w:sz w:val="28"/>
          <w:szCs w:val="28"/>
          <w:lang w:eastAsia="ru-RU"/>
        </w:rPr>
        <w:t xml:space="preserve">● </w:t>
      </w:r>
      <w:r>
        <w:rPr>
          <w:rFonts w:eastAsia="Times New Roman" w:cs="Times New Roman" w:ascii="Times New Roman" w:hAnsi="Times New Roman"/>
          <w:sz w:val="28"/>
          <w:szCs w:val="28"/>
          <w:lang w:eastAsia="ru-RU"/>
        </w:rPr>
        <w:t>В одном из решений о местном бюджете на 2022 год и плановый период 2023 и 2024 годов были установлены сроки, по состоянию на которые установлен верхний предел муниципального долга муниципального образования (на 01 января 2022 года, 01 января 2023 года и 01 января 2024 года), несоответствующие срокам, указанным в пункте 2 статьи 107 Бюджетного кодекса, согласно которому решением о местном бюджете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устанавливаются по состоянию на 1 января года, следующего за очередным финансовым годом и каждым годом планового периода.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Решения об исполнении бюджета муниципального образования</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В статье 264.6 Бюджетного кодекса содержатся требования, предъявляемые к решению об исполнении бюджета.</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Согласно указанной статье Бюджетного кодекса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Отдельными приложениями к решению об исполнении бюджета за отчетный финансовый год утверждаются показатели:</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доходов бюджета по кодам классификации доходов бюджетов;</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расходов бюджета по ведомственной структуре расходов соответствующего бюджета;</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расходов бюджета по разделам и подразделам классификации расходов бюджетов;</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источников финансирования дефицита бюджета по кодам классификации источников финансирования дефицитов бюджетов.</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 xml:space="preserve">Частью третьей статьи 264.6 Бюджетного кодекса предусмотрено, что решением об исполнении бюджета также утверждаются иные показатели, установленные муниципальным правовым актом представительного органа муниципального образования для решения об исполнении бюджета. </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В развитие данной нормы Бюджетного кодекса решениями ряда представительных органов местного самоуправления предусмотрено утверждение отдельным приложением к решению об исполнении местного бюджета за отчетный финансовый год показателей численности муниципальных служащих органов местного самоуправления</w:t>
      </w:r>
      <w:r>
        <w:rPr/>
        <w:t xml:space="preserve"> </w:t>
      </w:r>
      <w:r>
        <w:rPr>
          <w:rFonts w:eastAsia="Times New Roman" w:cs="Arial" w:ascii="Times New Roman" w:hAnsi="Times New Roman"/>
          <w:bCs/>
          <w:kern w:val="2"/>
          <w:sz w:val="28"/>
          <w:szCs w:val="28"/>
          <w:lang w:eastAsia="ru-RU"/>
        </w:rPr>
        <w:t>муниципального образования, работников муниципальных учреждений муниципального образования и фактических расходов на оплату их труда.</w:t>
      </w:r>
    </w:p>
    <w:p>
      <w:pPr>
        <w:pStyle w:val="Normal"/>
        <w:spacing w:lineRule="auto" w:line="240" w:before="0" w:after="0"/>
        <w:ind w:firstLine="709"/>
        <w:jc w:val="both"/>
        <w:rPr>
          <w:rFonts w:ascii="Times New Roman" w:hAnsi="Times New Roman" w:eastAsia="Times New Roman" w:cs="Arial"/>
          <w:bCs/>
          <w:kern w:val="2"/>
          <w:sz w:val="28"/>
          <w:szCs w:val="28"/>
          <w:lang w:eastAsia="ru-RU"/>
        </w:rPr>
      </w:pPr>
      <w:r>
        <w:rPr>
          <w:rFonts w:eastAsia="Times New Roman" w:cs="Arial" w:ascii="Times New Roman" w:hAnsi="Times New Roman"/>
          <w:bCs/>
          <w:kern w:val="2"/>
          <w:sz w:val="28"/>
          <w:szCs w:val="28"/>
          <w:lang w:eastAsia="ru-RU"/>
        </w:rPr>
        <w:t>Вместе с тем предъявляемые Бюджетным кодексом требования к решению об исполнении бюджета не всегда учитываются органами местного самоуправления при принятии решений об исполнении местного бюджета.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Arial" w:ascii="Times New Roman" w:hAnsi="Times New Roman"/>
          <w:bCs/>
          <w:kern w:val="2"/>
          <w:sz w:val="28"/>
          <w:szCs w:val="28"/>
          <w:lang w:eastAsia="ru-RU"/>
        </w:rPr>
        <w:t>Так, выявлены случаи отсутствия в отдельных решениях об исполнении бюджета</w:t>
      </w:r>
      <w:r>
        <w:rPr>
          <w:rFonts w:eastAsia="Times New Roman" w:cs="Times New Roman" w:ascii="Times New Roman" w:hAnsi="Times New Roman"/>
          <w:sz w:val="28"/>
          <w:szCs w:val="28"/>
          <w:lang w:eastAsia="ru-RU"/>
        </w:rPr>
        <w:t xml:space="preserve"> приложений, отражающих расходы бюджета по разделам и подразделам классификации расходов бюджета, а также приложений, утверждающих показатели численности муниципальных служащих, работников муниципальных учреждений и фактические расходы на оплату их труда (в случае, когда наличие такого приложения предусмотрено муниципальным правовым актом представительного органа муниципального образования о бюджетном процессе).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Встречаются случаи, когда решениями об исполнении бюджета утверждаются показатели, утверждение которых статьей 264.6 Бюджетного кодекса, а также принятыми в ее развитие муниципальными правовыми актами представительных органов муниципальных образований не предусмотрено. Примером служит утверждение решением об исполнении бюджета </w:t>
      </w:r>
      <w:r>
        <w:rPr>
          <w:rFonts w:eastAsia="Times New Roman" w:cs="Arial" w:ascii="Times New Roman" w:hAnsi="Times New Roman"/>
          <w:bCs/>
          <w:kern w:val="2"/>
          <w:sz w:val="28"/>
          <w:szCs w:val="28"/>
          <w:lang w:eastAsia="ru-RU"/>
        </w:rPr>
        <w:t xml:space="preserve">отчета о состоянии муниципального долга, отчета о расходовании средств резервного фонда администрации муниципального образования. Данные виды бюджетной отчетности в соответствии с положениями о бюджетном процессе прилагаются </w:t>
      </w:r>
      <w:r>
        <w:rPr>
          <w:rFonts w:eastAsia="Times New Roman" w:ascii="Times New Roman" w:hAnsi="Times New Roman"/>
          <w:sz w:val="28"/>
          <w:szCs w:val="28"/>
          <w:lang w:eastAsia="ru-RU"/>
        </w:rPr>
        <w:t>в качестве дополнительных материалов одновременно с проектом решения об исполнении бюджета, но не утверждаются последним.</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Муниципальные программы</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соответствии со статьей 179 Бюджетного кодекса 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местной администрации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вышеуказанного положения Бюджетного кодекса постановлениями администраций муниципальных образований утверждены соответствующие порядки разработки, реализации и оценки эффективности муниципальных программ и принятые в их развитие методические указания по разработке и реализации муниципальных программ муниципального образования (далее соответственно – порядки, методические указания), нормами которых установлены правила разработки, утверждения и реализации муниципальных программ, требования к содержанию и принципы финансового обеспечения реализации муниципальных программ (подпрограмм).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Анализ муниципальных НПА, утверждающих муниципальные программы, показал, что предъявляемые порядками и методическими указаниями требования к муниципальным программам не всегда учитываются органами местного самоуправления при разработке и утверждении муниципальных 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примеру, порядками и методическими указаниями предусмотрено, что показатели решения задач подпрограмм должны количественно и (или) качественно характеризовать ход реализации подпрограмм муниципальной программы, решение их задач и достижение непосредственных результатов основных мероприятий подпрограмм муниципальной программы. Кроме того, показатели решения задач подпрограммы должны быть увязаны с индикаторами достижения целей муниципальной программы (с расшифровкой плановых значений показателей решения задач подпрограмм по годам реализации муниципальной программы).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выявлены многочисленные случаи, когда в нарушение вышеуказанного требования содержащиеся в паспорте подпрограммы муниципальной программы отдельные показатели решения задач не содержат количественных и (или) качественных характеристик данных показателей в приложении, содержащем сведения об индикаторах достижения целей муниципальной программы, показателях решения задач подпрограмм муниципальной программы и их значениях.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порядками и методическими указаниями подпрограмма муниципальной программы должна содержать характеристику основных мероприятий. Характеристика основных мероприятий подпрограммы содержит сведения о конкретных мерах и действиях, запланированных к реализации, описание непосредственных результатов реализации основных мероприятий.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обзорном периоде выявлены случаи, когда указанное в соответствующих приложениях муниципальной программы основное мероприятие подпрограммы не содержит характеристики данного основного мероприятия в разделе «Характеристика основных мероприятий подпрограммы» текстовой части подпрограммы.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методическими указаниями наименования основных мероприятий муниципальной программы не могут дублировать наименования целей программы и индикаторов их достижения, задач подпрограммы и показателей их решения.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перечне основных мероприятий некоторых программ основные мероприятия дублируют индикаторы достижения целей программы и не являются по своему содержанию конкретной мерой или действием, запланированным к реализации.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отдельных муниципальных НПА, утверждающих муниципальные программы, выявлено несоответствие порядка вступления в силу федеральному законодательству.</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На основании части 2 статьи 47 Федерального закона </w:t>
        <w:br/>
        <w:t>№ 131-ФЗ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 xml:space="preserve">На основании пункта 35 статьи 3 Федерального закона от                                      28 июня 2014 года № 172-ФЗ «О стратегическом планировании в Российской Федерации» муниципальные программы являются документами стратегического планирования, содержащими комплекс мероприятий, обеспечивающих наиболее эффективное достижение целей и решение задач социально-экономического развития муниципального образования, в связи с чем урегулированные в муниципальных программах вопросы </w:t>
      </w:r>
      <w:r>
        <w:rPr>
          <w:rFonts w:eastAsia="Times New Roman" w:cs="Times New Roman" w:ascii="Times New Roman" w:hAnsi="Times New Roman"/>
          <w:sz w:val="28"/>
          <w:szCs w:val="28"/>
          <w:lang w:eastAsia="ru-RU"/>
        </w:rPr>
        <w:t>напрямую затрагивают интересы неопределенного круга лиц – жителей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некоторых муниципальных НПА, утверждающих муниципальные программы, предусмотрено вступление их в силу ранее даты официального опубликования (обнародования).</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4. В области налогообложения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4.1. Земельный налог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Выявленные в обзорном периоде нарушения в муниципальных НПА</w:t>
      </w:r>
      <w:r>
        <w:rPr/>
        <w:t xml:space="preserve"> </w:t>
      </w:r>
      <w:r>
        <w:rPr>
          <w:rFonts w:eastAsia="Times New Roman" w:cs="Times New Roman" w:ascii="Times New Roman" w:hAnsi="Times New Roman"/>
          <w:sz w:val="28"/>
          <w:szCs w:val="28"/>
          <w:lang w:eastAsia="ru-RU"/>
        </w:rPr>
        <w:t>о земельном налоге в преобладающей части связаны с установлением налоговых льгот.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Право представительных органов муниципальных образований устанавливать льготы по земельному налогу закреплено в абзаце втором      пункта 2 статьи 387 Налогового кодекса Российской Федерации (далее – Налоговый кодекс).</w:t>
      </w:r>
      <w:r>
        <w:rPr>
          <w:rFonts w:cs="Times New Roman" w:ascii="Times New Roman" w:hAnsi="Times New Roman"/>
          <w:b/>
          <w:bCs/>
          <w:sz w:val="28"/>
          <w:szCs w:val="28"/>
        </w:rPr>
        <w:t xml:space="preserve"> </w:t>
      </w:r>
      <w:r>
        <w:rPr>
          <w:rFonts w:cs="Times New Roman" w:ascii="Times New Roman" w:hAnsi="Times New Roman"/>
          <w:bCs/>
          <w:sz w:val="28"/>
          <w:szCs w:val="28"/>
        </w:rPr>
        <w:t xml:space="preserve">При этом, реализуя данное право, органам местного самоуправления необходимо учитывать, что согласно абзацу второму пункта 1 статьи 56 </w:t>
      </w:r>
      <w:r>
        <w:rPr>
          <w:rFonts w:cs="Times New Roman" w:ascii="Times New Roman" w:hAnsi="Times New Roman"/>
          <w:sz w:val="28"/>
          <w:szCs w:val="28"/>
        </w:rPr>
        <w:t>Налогового кодекса</w:t>
      </w:r>
      <w:r>
        <w:rPr>
          <w:rFonts w:cs="Times New Roman" w:ascii="Times New Roman" w:hAnsi="Times New Roman"/>
          <w:bCs/>
          <w:sz w:val="28"/>
          <w:szCs w:val="28"/>
        </w:rPr>
        <w:t xml:space="preserve"> нормы законодательства о налогах и сборах, определяющие основания, порядок и условия применения льгот по налогам и сборам, </w:t>
      </w:r>
      <w:r>
        <w:rPr>
          <w:rFonts w:cs="Times New Roman" w:ascii="Times New Roman" w:hAnsi="Times New Roman"/>
          <w:b/>
          <w:bCs/>
          <w:sz w:val="28"/>
          <w:szCs w:val="28"/>
        </w:rPr>
        <w:t>не могут носить индивидуального характера</w:t>
      </w:r>
      <w:r>
        <w:rPr>
          <w:rFonts w:cs="Times New Roman" w:ascii="Times New Roman" w:hAnsi="Times New Roman"/>
          <w:bCs/>
          <w:sz w:val="28"/>
          <w:szCs w:val="28"/>
        </w:rPr>
        <w:t>.</w:t>
      </w:r>
    </w:p>
    <w:p>
      <w:pPr>
        <w:pStyle w:val="Normal"/>
        <w:spacing w:lineRule="auto" w:line="240" w:before="0" w:after="0"/>
        <w:ind w:firstLine="709"/>
        <w:jc w:val="both"/>
        <w:rPr>
          <w:rFonts w:ascii="Times New Roman" w:hAnsi="Times New Roman" w:eastAsia="Calibri" w:cs="Times New Roman"/>
          <w:b/>
          <w:b/>
          <w:bCs/>
          <w:sz w:val="28"/>
          <w:szCs w:val="28"/>
          <w:lang w:eastAsia="ru-RU"/>
        </w:rPr>
      </w:pPr>
      <w:r>
        <w:rPr>
          <w:rFonts w:eastAsia="Times New Roman" w:cs="Times New Roman" w:ascii="Times New Roman" w:hAnsi="Times New Roman"/>
          <w:sz w:val="28"/>
          <w:szCs w:val="28"/>
          <w:lang w:eastAsia="ru-RU"/>
        </w:rPr>
        <w:t xml:space="preserve">В соответствии с абзацем первым пункта 1 статьи 56 Налогового кодекса льготами по налогам признаются предоставляемые отдельным </w:t>
      </w:r>
      <w:r>
        <w:rPr>
          <w:rFonts w:eastAsia="Times New Roman" w:cs="Times New Roman" w:ascii="Times New Roman" w:hAnsi="Times New Roman"/>
          <w:b/>
          <w:sz w:val="28"/>
          <w:szCs w:val="28"/>
          <w:lang w:eastAsia="ru-RU"/>
        </w:rPr>
        <w:t>категориям</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налогоплательщиков</w:t>
      </w:r>
      <w:r>
        <w:rPr>
          <w:rFonts w:eastAsia="Times New Roman" w:cs="Times New Roman" w:ascii="Times New Roman" w:hAnsi="Times New Roman"/>
          <w:sz w:val="28"/>
          <w:szCs w:val="28"/>
          <w:lang w:eastAsia="ru-RU"/>
        </w:rPr>
        <w:t xml:space="preserve"> предусмотренные законодательством о налогах преимущества по сравнению с другими налогоплательщиками, включая возможность не уплачивать налог либо уплачивать его в меньшем размере</w:t>
      </w:r>
      <w:r>
        <w:rPr>
          <w:rFonts w:eastAsia="Calibri" w:cs="Times New Roman" w:ascii="Times New Roman" w:hAnsi="Times New Roman"/>
          <w:bCs/>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НПА о земельном налоге установлены налоговые льготы конкретным организациям, расположенным на территории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4.2. Система налогообложения в виде единого налога на вмененный доход для отдельных видов деятельности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8 статьи 5 Федерального закона от                            29 июня 2012 г.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главы 26</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Налогового кодекса, устанавливающей систему налогообложения в виде единого налога на вмененный доход для отдельных видов деятельности, не применяются с 01 января 2021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Федеральным законом от 02 июля 2021 г. № 305-ФЗ «О внесении изменений в части первую и вторую Налогового кодекса Российской Федерации и отдельные законодательные акты Российской Федерации» глава 26</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Налогового кодекса признана утратившей силу.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значительное количество муниципальных НПА, вводящих в действие систему налогообложения в виде единого налога на вмененный доход для отдельных видов деятельности на территории муниципального образования, не были своевременно признаны утратившими силу.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5. В области дорожного хозяйства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8 статьи 12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 ведение реестра парковок общего пользования осуществляется уполномоченным органом субъекта Российской Федерации, уполномоченным органом местного самоуправления в порядке, установленном уполномоченным органом государственной власти субъекта Российской Федерации.</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развитие данной правовой нормы приказом министерства дорожного хозяйства и транспорта Ставропольского края от 19 июня 2019 г. № 150-о/д утвержден Порядок ведения реестров парковок общего пользования в Ставропольском крае, устанавливающий правила формирования и ведения реестров парковок общего пользования в Ставропольском крае.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Вместе с тем отдельными муниципальными НПА в отсутствие соответствующей компетенции были утверждены порядки ведения реестра парковок общего пользования, расположенных на автомобильных дорогах общего пользования местного значения.</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6. В области жилищных правоотношений</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Согласно части 3 статьи 156 Жилищного кодекса Российской Федерации</w:t>
      </w:r>
      <w:r>
        <w:rPr>
          <w:rFonts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органы местного самоуправления</w:t>
      </w:r>
      <w:r>
        <w:rPr>
          <w:rFonts w:cs="Times New Roman" w:ascii="Times New Roman" w:hAnsi="Times New Roman"/>
          <w:sz w:val="28"/>
          <w:szCs w:val="28"/>
        </w:rPr>
        <w:t xml:space="preserve"> </w:t>
      </w:r>
      <w:r>
        <w:rPr>
          <w:rFonts w:eastAsia="Times New Roman" w:cs="Times New Roman" w:ascii="Times New Roman" w:hAnsi="Times New Roman"/>
          <w:bCs/>
          <w:sz w:val="28"/>
          <w:szCs w:val="28"/>
          <w:lang w:eastAsia="ru-RU"/>
        </w:rPr>
        <w:t>устанавливают</w:t>
      </w:r>
      <w:r>
        <w:rPr>
          <w:rFonts w:cs="Times New Roman" w:ascii="Times New Roman" w:hAnsi="Times New Roman"/>
          <w:sz w:val="28"/>
          <w:szCs w:val="28"/>
        </w:rPr>
        <w:t xml:space="preserve"> р</w:t>
      </w:r>
      <w:r>
        <w:rPr>
          <w:rFonts w:eastAsia="Times New Roman" w:cs="Times New Roman" w:ascii="Times New Roman" w:hAnsi="Times New Roman"/>
          <w:bCs/>
          <w:sz w:val="28"/>
          <w:szCs w:val="28"/>
          <w:lang w:eastAsia="ru-RU"/>
        </w:rPr>
        <w:t xml:space="preserve">азмер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в обзорном периоде выявлены случаи установления органами местного самоуправления размера платы </w:t>
      </w:r>
      <w:r>
        <w:rPr>
          <w:rFonts w:eastAsia="Times New Roman" w:cs="Times New Roman" w:ascii="Times New Roman" w:hAnsi="Times New Roman"/>
          <w:b/>
          <w:sz w:val="28"/>
          <w:szCs w:val="28"/>
          <w:lang w:eastAsia="ru-RU"/>
        </w:rPr>
        <w:t>за содержание и ремонт</w:t>
      </w:r>
      <w:r>
        <w:rPr>
          <w:rFonts w:eastAsia="Times New Roman" w:cs="Times New Roman" w:ascii="Times New Roman" w:hAnsi="Times New Roman"/>
          <w:sz w:val="28"/>
          <w:szCs w:val="28"/>
          <w:lang w:eastAsia="ru-RU"/>
        </w:rPr>
        <w:t xml:space="preserve"> жилого помещения для нанимателей по договорам социального найма и договорам найма жилых помещений государственного или муниципального жилищного фонда.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не были учтены изменения, внесенные в часть 3 статьи 156 Жилищного кодекса Российской Федерации Федеральным законом                         от 29 июня 2015 г. № 176-ФЗ «О внесении изменений в Жилищный кодекс Российской Федерации и отдельные законодательные акты Российской Федерации», в части исключения слов «и ремонт».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7. В области осуществления муниципального контроля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 01 июля 2021 года вступил в силу Федеральный закон от                             31 июля 2020 г. № 248-ФЗ «О государственном контроле (надзоре) и муниципальном контроле в Российской Федерации» (далее – Федеральный закон № 248-ФЗ), урегулировавший правоотношения, связанные с организацией и осуществлением государственного контроля (надзора), муниципального контроля.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статье 1 Федерального закона № 248-ФЗ виды муниципального контроля устанавливаются федеральными законами.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со статьей 18 Федерального закона № 248-ФЗ сведения о видах контроля и осуществляющих их контрольных (надзорных) органах, их территориальных органах и подразделениях включаются в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 Правила формирования и ведения единого реестра видов контроля утверждаются Правительством Российской Федерации (часть 2 статьи 18 Федерального закона № 248-ФЗ).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Правила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введены постановлением Правительства Российской Федерации от 02 апреля 2021 г.             № 528 «О внесении изменений в некоторые акты Правительства Российской Федерации в части создания, эксплуатации и развития единого реестра видов федерального государственного контроля (надзора), регионального государственного контроля (надзора), муниципального контроля», вступившим в силу с 01 июля 2021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образованиями не были своевременно признаны утратившими силу муниципальные НПА, определяющие порядок ведения перечня видов муниципального контроля и органов местного самоуправления, уполномоченных на их осуществление.</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8. В области погребения и похоронного дела</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 </w:t>
      </w:r>
      <w:r>
        <w:rPr>
          <w:rFonts w:eastAsia="Calibri" w:cs="Times New Roman" w:ascii="Times New Roman" w:hAnsi="Times New Roman"/>
          <w:sz w:val="28"/>
          <w:szCs w:val="28"/>
        </w:rPr>
        <w:t>В соответствии со статьей 21 Федерального закона                                     от 12 января 1996 года № 8-ФЗ «О погребении и похоронном деле» гражданам Российской Федерации могут предоставляться участки земли на общественных кладбищах для создания семейных (родовых) захоронений в соответствии с законодательством Российской Федерации и законодательством субъектов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статьи 7 Закона Ставропольского края от 08 июня 2015 г. № 62-кз «О некоторых вопросах погребения и похоронного дела в Ставропольском крае» (далее – Закон № 62-кз)</w:t>
      </w:r>
      <w:r>
        <w:rPr>
          <w:rFonts w:eastAsia="Calibri" w:cs="Times New Roman"/>
        </w:rPr>
        <w:t xml:space="preserve"> </w:t>
      </w:r>
      <w:r>
        <w:rPr>
          <w:rFonts w:eastAsia="Times New Roman" w:cs="Times New Roman" w:ascii="Times New Roman" w:hAnsi="Times New Roman"/>
          <w:sz w:val="28"/>
          <w:szCs w:val="28"/>
          <w:lang w:eastAsia="ru-RU"/>
        </w:rPr>
        <w:t>порядок предоставления на общественных кладбищах участков земли для семейных захоронений определяется Правительством Ставропольского края.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Соответствующий порядок предоставления участков земли на общественных кладбищах, расположенных на территории Ставропольского края, для создания семейных (родовых) захоронений утвержден постановлением Правительства Ставропольского края от 21 марта 2016 г.        № 96-п «Об утверждении Порядка предоставления участков земли на общественных кладбищах, расположенных на территории Ставропольского края, для создания семейных (родовых) захоронений» (далее – Постановление № 96-п).</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sz w:val="28"/>
          <w:szCs w:val="28"/>
        </w:rPr>
        <w:t xml:space="preserve">Вместе с тем отдельными муниципальными НПА в отсутствие соответствующей компетенции определен порядок </w:t>
      </w:r>
      <w:r>
        <w:rPr>
          <w:rFonts w:eastAsia="Times New Roman" w:cs="Times New Roman" w:ascii="Times New Roman" w:hAnsi="Times New Roman"/>
          <w:color w:val="000000"/>
          <w:sz w:val="28"/>
          <w:szCs w:val="28"/>
          <w:lang w:eastAsia="ru-RU"/>
        </w:rPr>
        <w:t>предоставления земельных участков на общественных кладбищах, расположенных на территории муниципального (городского) округа, для создания семейных (родовых) захоронений.</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color w:val="000000"/>
          <w:sz w:val="28"/>
          <w:szCs w:val="28"/>
          <w:lang w:eastAsia="ru-RU"/>
        </w:rPr>
        <w:t>Законом № 62-кз, Постановлением № 96-п к полномочиям органов местного самоуправления отнесено регулирование отдельных вопросов, связанных с предоставлением земельных участков для создания семейных (родовых) захоронений:</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определение размеров участков земли, предоставляемых для семейных захоронений; </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определение размеров платы за предоставление участков земли для семейных захоронений; </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определение срока внесения платы за предоставление участка под семейное захоронение;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утверждение формы договора о предоставлении участка по семейное захоронение;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утверждение формы журнала регистрации семейных захоронений, а также порядка его ведения;</w:t>
      </w:r>
    </w:p>
    <w:p>
      <w:pPr>
        <w:pStyle w:val="Normal"/>
        <w:spacing w:lineRule="auto" w:line="240" w:before="0" w:after="0"/>
        <w:ind w:firstLine="709"/>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sz w:val="28"/>
          <w:szCs w:val="28"/>
        </w:rPr>
        <w:t>утверждение порядка ведения учета использования (неиспользования) предоставленных участков под семейные захоронения.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 xml:space="preserve">Вместе с тем </w:t>
      </w:r>
      <w:r>
        <w:rPr>
          <w:rFonts w:eastAsia="Times New Roman" w:cs="Times New Roman" w:ascii="Times New Roman" w:hAnsi="Times New Roman"/>
          <w:sz w:val="28"/>
          <w:szCs w:val="28"/>
          <w:lang w:eastAsia="ru-RU"/>
        </w:rPr>
        <w:t>некоторые муниципальные НПА содержат пробел в части неурегулированности</w:t>
      </w:r>
      <w:r>
        <w:rPr/>
        <w:t xml:space="preserve"> </w:t>
      </w:r>
      <w:r>
        <w:rPr>
          <w:rFonts w:eastAsia="Times New Roman" w:cs="Times New Roman" w:ascii="Times New Roman" w:hAnsi="Times New Roman"/>
          <w:sz w:val="28"/>
          <w:szCs w:val="28"/>
          <w:lang w:eastAsia="ru-RU"/>
        </w:rPr>
        <w:t>отдельных вышеперечисленных вопросов, связанных с предоставлением земельных участков для создания семейных (родовых) захоронений.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9. По вопросам, связанным с установкой мемориальных сооружений, памятных знаков и произведений монументально-декоративного искусства на территории Ставропольского края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С 01 июля 2021 года отношения, </w:t>
      </w:r>
      <w:r>
        <w:rPr>
          <w:rFonts w:cs="Times New Roman" w:ascii="Times New Roman" w:hAnsi="Times New Roman"/>
          <w:sz w:val="28"/>
          <w:szCs w:val="28"/>
        </w:rPr>
        <w:t>связанные с установкой мемориальных сооружений, памятных знаков и произведений монументально-декоративного искусства на территории Ставропольского края, включая цели установки указанных объектов, порядок подачи и рассмотрения предложений об их установке, а также их финансирования и содержания, урегулированы</w:t>
      </w:r>
      <w:r>
        <w:rPr>
          <w:rFonts w:eastAsia="Times New Roman" w:cs="Times New Roman" w:ascii="Times New Roman" w:hAnsi="Times New Roman"/>
          <w:sz w:val="28"/>
          <w:szCs w:val="28"/>
          <w:lang w:eastAsia="ru-RU"/>
        </w:rPr>
        <w:t xml:space="preserve"> Законом Ставропольского края                                     от 07 июня 2021 года № 53-кз «О некоторых вопросах, связанных</w:t>
      </w:r>
      <w:r>
        <w:rPr>
          <w:rFonts w:cs="Times New Roman" w:ascii="Times New Roman" w:hAnsi="Times New Roman"/>
          <w:sz w:val="28"/>
          <w:szCs w:val="28"/>
        </w:rPr>
        <w:t xml:space="preserve"> с установкой мемориальных сооружений, памятных знаков и произведений монументально-декоративного искусства</w:t>
      </w:r>
      <w:r>
        <w:rPr>
          <w:rFonts w:eastAsia="Times New Roman" w:cs="Times New Roman" w:ascii="Times New Roman" w:hAnsi="Times New Roman"/>
          <w:sz w:val="28"/>
          <w:szCs w:val="28"/>
          <w:lang w:eastAsia="ru-RU"/>
        </w:rPr>
        <w:t xml:space="preserve"> (далее – Закон Ставропольского края № 53-кз).</w:t>
      </w:r>
    </w:p>
    <w:p>
      <w:pPr>
        <w:pStyle w:val="Normal"/>
        <w:spacing w:lineRule="auto" w:line="240" w:before="0" w:after="0"/>
        <w:ind w:firstLine="709"/>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sz w:val="28"/>
          <w:szCs w:val="28"/>
          <w:lang w:eastAsia="ru-RU"/>
        </w:rPr>
        <w:t>Порядок рассмотрения предложений об установке мемориальных сооружений, памятных знаков и произведений монументально-декоративного искусства устанавливается Правительством Ставропольского края (часть 3 статьи 3 Закона Ставропольского края № 53-кз).</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В развитие данной правовой нормы постановлением Правительства Ставропольского края от 07 декабря 2021 г. № 630-п утвержден Порядок рассмотрения предложений об установке мемориальных сооружений, памятных знаков и произведений монументально-декоративного искусства на территории Ставропольского края, определивший механизм рассмотрения </w:t>
      </w:r>
      <w:r>
        <w:rPr>
          <w:rFonts w:cs="Times New Roman" w:ascii="Times New Roman" w:hAnsi="Times New Roman"/>
          <w:sz w:val="28"/>
          <w:szCs w:val="28"/>
        </w:rPr>
        <w:t xml:space="preserve"> предложений об установке мемориальных сооружений, памятных знаков и произведений монументально-декоративного искусства на территории Ставропольского края.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свою очередь, органы местного самоуправления на основании положений Закона Ставропольского края № 53-кз определяют порядок демонтажа самовольно установленных мемориальных сооружений, памятных знаков и произведений монументально-декоративного искусства, а также согласовывают предполагаемое место расположения мемориального сооружения, памятного знака и произведения монументально-декоративного искусства (пункт 2 части 2 статьи 3 и часть 2 статьи 5 Закона Ставропольского края № 53-кз).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образованиями не были своевременно признаны утратившими силу муниципальные НПА, определяющие порядок установки и обеспечения сохранности мемориальных досок, мемориальных (памятных) знаков.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10. В области труда и социальной защиты отдельных категорий граждан</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Анализ муниципальных НПА, регламентирующих осуществление отдельных государственных полномочий Российской Федерации, переданных для осуществления органам государственной власти субъектов Российской Федерации, и отдельных государственных полномочий Ставропольского края в области труда и социальной защиты отдельных категорий граждан, переданных для осуществления органами местного самоуправления муниципальных образований Ставропольского края на основании Закона Ставропольского края от 11 декабря 2009 г. № 92-кз                     «О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 (далее – Закон Ставропольского края № 92-кз), показал, что отдельными органами местного самоуправления не проводится мониторинг изменений, внесенных в законодательство Ставропольского края.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во многих муниципальных образованиях своевременно не были признаны утратившими силу административные регламенты по предоставлению государственной услуги по назначению и выплате: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единовременного пособия женщинам, вставшим на учет в медицинских организациях в ранние сроки беременности,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единовременного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(за исключением единовременного пособия при рождении ребенка женщинам, проходящим военную службу по контракту; лицам, проходящим службу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органов принудительного исполнения Российской Федерации, таможенных органов;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а также в связи с истечением срока их трудового договора в воинских частях, находящихся за пределами Российской Федерации; женщинам, уволенным в период беременности, отпуска по беременности и родам, отпуска по уходу за ребенком в связи с переводом мужа в Российскую Федерацию из воинских частей, находящихся за пределами Российской Федерации; неработающим женам военнослужащих, проходящих военную службу по контракту на территориях иностранных государств);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единовременного пособия беременной жене военнослужащего, проходящего военную службу по призыву</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е</w:t>
      </w:r>
      <w:r>
        <w:rPr>
          <w:rFonts w:cs="Times New Roman" w:ascii="Times New Roman" w:hAnsi="Times New Roman"/>
          <w:sz w:val="28"/>
          <w:szCs w:val="28"/>
        </w:rPr>
        <w:t>жемесячного пособия на ребенка военнослужащего, проходящего военную службу по призыву;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пособия по беременности и родам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компенсации страховых премий по договору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инвалидам (в том числе детям-инвалидам), имеющим транспортные средства в соответствии с медицинскими показаниями, или их законным представителям (далее – выплаты).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Положения Закона Ставропольского края № 92-кз, наделяющие органы местного самоуправления полномочиями по осуществлению вышеуказанных выплат признаны утратившими силу законами Ставропольского края                                       от 07 декабря 2021 г. № 122-кз «О внесении изменений в Закон Ставропольского края «О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 и от 05 апреля 2022 г. № 22-кз «О внесении изменений в Закон Ставропольского края «О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11. В области регулирования порядка проведения встреч депутатов с избирателями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ru-RU"/>
        </w:rPr>
        <w:t xml:space="preserve">● </w:t>
      </w:r>
      <w:r>
        <w:rPr>
          <w:rFonts w:ascii="Times New Roman" w:hAnsi="Times New Roman"/>
          <w:sz w:val="28"/>
          <w:szCs w:val="28"/>
        </w:rPr>
        <w:t>Федеральным законом от 07 июня 2017 года № 107-ФЗ «О внесении изменений в отдельные законодательные акты Российской Федерации в части совершенствования законодательства о публичных мероприятиях» (далее – Федеральный закон № 107-ФЗ) в ряд федеральных законов внесены изменения, касающиеся правового регулирования порядка проведения встреч с избирателями депутатов всех уровней.</w:t>
      </w:r>
    </w:p>
    <w:p>
      <w:pPr>
        <w:pStyle w:val="Normal"/>
        <w:spacing w:lineRule="auto" w:line="240" w:before="0" w:after="0"/>
        <w:ind w:firstLine="709"/>
        <w:jc w:val="both"/>
        <w:rPr>
          <w:rFonts w:ascii="Times New Roman" w:hAnsi="Times New Roman" w:eastAsia="Times New Roman"/>
          <w:sz w:val="28"/>
          <w:szCs w:val="28"/>
          <w:lang w:eastAsia="ru-RU"/>
        </w:rPr>
      </w:pPr>
      <w:r>
        <w:rPr>
          <w:rFonts w:ascii="Times New Roman" w:hAnsi="Times New Roman"/>
          <w:sz w:val="28"/>
          <w:szCs w:val="28"/>
        </w:rPr>
        <w:t>В зависимости от формата предполагаемого мероприятия и особенностей места его проведения Федеральным законом № 107-ФЗ предусмотрено два способа проведения таких встреч.</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Первый способ – встречи депутата с избирателями в помещениях, специально отведенных местах, а также на внутридворовых территориях в целях информирования депутатом избирателей о своей деятельности.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Именно для проведения встреч депутата с избирателями в таком формате органы местного самоуправления определяют специально отведенные места, а также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Второй способ – встречи депутата с избирателями в целях информирования депутатом избирателей о своей деятельности в форме публичного мероприятия, которое проводится в соответствии с законодательством Российской Федерации о собраниях, митингах, демонстрациях, шествиях и пикетированиях.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Места проведения встреч депутатов с избирателями в форме публичного мероприятия определяются в соответствии со статьей 8 Федерального закона от 19 июня 2004 года № 54-ФЗ «О собраниях, митингах, демонстрациях, шествиях и пикетированиях».</w:t>
      </w:r>
    </w:p>
    <w:p>
      <w:pPr>
        <w:pStyle w:val="Normal"/>
        <w:spacing w:lineRule="auto" w:line="240" w:before="0" w:after="0"/>
        <w:ind w:firstLine="709"/>
        <w:jc w:val="both"/>
        <w:rPr>
          <w:rFonts w:ascii="Times New Roman" w:hAnsi="Times New Roman" w:eastAsia="Times New Roman"/>
          <w:sz w:val="28"/>
          <w:szCs w:val="28"/>
          <w:lang w:eastAsia="ru-RU"/>
        </w:rPr>
      </w:pPr>
      <w:r>
        <w:rPr>
          <w:rFonts w:ascii="Times New Roman" w:hAnsi="Times New Roman"/>
          <w:sz w:val="28"/>
          <w:szCs w:val="28"/>
        </w:rPr>
        <w:t xml:space="preserve">Вместе с тем </w:t>
      </w:r>
      <w:r>
        <w:rPr>
          <w:rFonts w:eastAsia="Times New Roman" w:cs="Times New Roman" w:ascii="Times New Roman" w:hAnsi="Times New Roman"/>
          <w:sz w:val="28"/>
          <w:szCs w:val="28"/>
          <w:lang w:eastAsia="ru-RU"/>
        </w:rPr>
        <w:t>в обзорном периоде выявлены муниципальные НПА, определяющие</w:t>
      </w:r>
      <w:r>
        <w:rPr>
          <w:rFonts w:ascii="Times New Roman" w:hAnsi="Times New Roman"/>
          <w:sz w:val="28"/>
          <w:szCs w:val="28"/>
        </w:rPr>
        <w:t xml:space="preserve"> порядок предоставления помещений для проведения встреч депутатов с избирателями в форме публичного мероприятия, что противоречит вышеуказанным нормам федерального законодательства.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 </w:t>
      </w:r>
      <w:r>
        <w:rPr>
          <w:rFonts w:eastAsia="Times New Roman" w:cs="Times New Roman" w:ascii="Times New Roman" w:hAnsi="Times New Roman"/>
          <w:sz w:val="28"/>
          <w:szCs w:val="28"/>
          <w:lang w:eastAsia="ru-RU"/>
        </w:rPr>
        <w:t>В соответствии с положениями части 7 статьи 8 Федерального закона от 08 мая 1994 года № 3-ФЗ «О статусе сенатора Российской Федерации и статусе депутата Государственной Думы Федерального Собрания Российской Федерации», пункта 5 статьи 11 Федерального закона от 06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части 5.3                 статьи 40 Федерального закона № 131-ФЗ на органы местного самоуправления возложена обязанность способствовать проведению встреч депутата с избирателями в целях их информирования о своей деятельности и выражения избирателями пожеланий депутату относительно осуществления его деятельности и деятельности представительного органа, в состав которого он входит.</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В этих целях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Исходя из содержания данных правовых норм, порядок предоставления определяется органами местного самоуправления в отношении помещений, предоставляемых для проведения встреч с избирателями. В части специально отведенных мест органами местного самоуправления определяется перечень таких мест, определение порядка их предоставления не требуется.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некоторыми муниципальными НПА определен не только порядок предоставления помещений для проведения встреч депутатов с избирателями, но и порядок предоставления специально отведенных мест.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12. </w:t>
      </w:r>
      <w:r>
        <w:rPr>
          <w:rFonts w:cs="Times New Roman" w:ascii="Times New Roman" w:hAnsi="Times New Roman"/>
          <w:sz w:val="28"/>
          <w:szCs w:val="28"/>
          <w:u w:val="single"/>
        </w:rPr>
        <w:t>О некоторых мерах по защите прав и законных интересов несовершеннолетних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1 статьи 5 Закона Ставропольского края                    от 29 июля 2009 г. № 52-кз «О некоторых мерах по защите прав и законных интересов несовершеннолетних» (далее – Закон № 52-кз) органы местного самоуправления определяют на территории соответствующего муниципального образования места, нахождение несовершеннолетних в которых в соответствии со статьей 3 Закона № 52-кз не допускается.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Согласно статье 3 Закона № 52-кз не допускается нахождение лиц, не достигших возраста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и в иных местах, нахождение в которых может причинить вред здоровью детей, их физическому, интеллектуальному, психическому, духовному и нравственному развитию.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Не допускается нахождение лиц, не достигших возраста 16 лет,                с 22 часов до 6 часов, а в период с 1 июня по 31 августа – с 23 часов                    </w:t>
      </w:r>
      <w:bookmarkStart w:id="0" w:name="_GoBack"/>
      <w:bookmarkEnd w:id="0"/>
      <w:r>
        <w:rPr>
          <w:rFonts w:eastAsia="Times New Roman" w:cs="Times New Roman" w:ascii="Times New Roman" w:hAnsi="Times New Roman"/>
          <w:sz w:val="28"/>
          <w:szCs w:val="28"/>
          <w:lang w:eastAsia="ru-RU"/>
        </w:rPr>
        <w:t>до 6 часов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информационно-телекоммуникационной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и в иных общественных местах без сопровождения родителей (лиц, их заменяющих) или лиц, осуществляющих мероприятия с участием детей.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Таким образом, органы местного самоуправления определяют перечень мест, в которых не допускается нахождение лиц, не достигших 18 лет и перечень мест, в которых в ночное время не допускается нахождение лиц, не достигших возраста 16 лет без сопровождения родителей (лиц, их заменяющих), а также лиц, осуществляющих мероприятия с участием детей.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Места, включаемые органами местного самоуправления в указанные перечни, не могут совпадать, что обусловлено характером возможного причинения вреда здоровью детей, их физическому, интеллектуальному, психическому, духовному и нравственному развитию при нахождении несовершеннолетних в некоторых местах.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к примеру, в местах, которые предназначены для реализации только алкогольной продукции, не допускается нахождение лиц, не достигших возраста 18 лет, ни при каких условиях, ни самостоятельно, ни в сопровождении родителей.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свою очередь, в местах общественного питания, в которых предусмотрена розничная реализация алкогольной продукции, несовершеннолетние не могут находиться в ночное время без сопровождения родителей. То есть, в дневное время лица, не достигшие 16 лет, могут находиться в указанных местах, в том числе без родителей, а несовершеннолетние, достигшие 16 лет, – и в ночное время.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НПА в нарушение законодательства Ставропольского края установлен единый перечень мест, нахождение несовершеннолетних в которых не допускается, не разграничивающий места, нахождение в которых не допускается лиц, не достигших возраста 18 лет, и лиц, не достигших возраста 16 лет, в ночное время без сопровождения родителей.</w:t>
      </w:r>
    </w:p>
    <w:p>
      <w:pPr>
        <w:pStyle w:val="Normal"/>
        <w:spacing w:lineRule="auto" w:line="240" w:before="0" w:after="0"/>
        <w:ind w:firstLine="709"/>
        <w:jc w:val="both"/>
        <w:rPr>
          <w:rFonts w:ascii="Times New Roman" w:hAnsi="Times New Roman"/>
          <w:bCs/>
          <w:kern w:val="2"/>
          <w:sz w:val="28"/>
          <w:szCs w:val="28"/>
          <w:u w:val="single"/>
        </w:rPr>
      </w:pPr>
      <w:r>
        <w:rPr>
          <w:rFonts w:ascii="Times New Roman" w:hAnsi="Times New Roman"/>
          <w:bCs/>
          <w:kern w:val="2"/>
          <w:sz w:val="28"/>
          <w:szCs w:val="28"/>
          <w:u w:val="single"/>
        </w:rPr>
      </w:r>
    </w:p>
    <w:p>
      <w:pPr>
        <w:pStyle w:val="Normal"/>
        <w:spacing w:lineRule="auto" w:line="240" w:before="0" w:after="0"/>
        <w:ind w:firstLine="709"/>
        <w:jc w:val="both"/>
        <w:rPr>
          <w:rFonts w:ascii="Times New Roman" w:hAnsi="Times New Roman"/>
          <w:bCs/>
          <w:kern w:val="2"/>
          <w:sz w:val="28"/>
          <w:szCs w:val="28"/>
          <w:u w:val="single"/>
        </w:rPr>
      </w:pPr>
      <w:r>
        <w:rPr>
          <w:rFonts w:ascii="Times New Roman" w:hAnsi="Times New Roman"/>
          <w:bCs/>
          <w:kern w:val="2"/>
          <w:sz w:val="28"/>
          <w:szCs w:val="28"/>
          <w:u w:val="single"/>
        </w:rPr>
        <w:t xml:space="preserve">13. В области исполнения уголовного наказания </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соответствии со статьями 49 и 50 Уголовного кодекса Российской Федерации, статьями 25 и 39 Уголовно-исполнительного кодекса Российской Федерации органами местного самоуправления по согласованию с уголовно-исполнительными инспекциями определяются вид обязательных работ и объекты, на которых они отбываются, а также места отбывания исправительных работ.</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Вместе с тем в ряде муниципальных НПА</w:t>
      </w:r>
      <w:r>
        <w:rPr>
          <w:rFonts w:eastAsia="Times New Roman" w:cs="Times New Roman" w:ascii="Times New Roman" w:hAnsi="Times New Roman"/>
          <w:sz w:val="28"/>
          <w:szCs w:val="28"/>
          <w:lang w:eastAsia="ru-RU"/>
        </w:rPr>
        <w:t xml:space="preserve"> </w:t>
      </w:r>
      <w:r>
        <w:rPr>
          <w:rFonts w:eastAsia="Calibri" w:cs="Times New Roman" w:ascii="Times New Roman" w:hAnsi="Times New Roman"/>
          <w:sz w:val="28"/>
          <w:szCs w:val="28"/>
        </w:rPr>
        <w:t>определены не только места отбывания исправительных работ, но и виды работ для отбывания наказаний гражданами, осужденными к исправительным работам, что не предусмотрено федеральным законодательством.</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14. В сфере обращения с отходами производства и потребления </w:t>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 01 января 2021 года постановление Правительства Российской Федерации от 03 сентября 2010 г. № 681</w:t>
      </w:r>
      <w:r>
        <w:rPr>
          <w:rFonts w:cs="Times New Roman" w:ascii="Times New Roman" w:hAnsi="Times New Roman"/>
          <w:sz w:val="28"/>
          <w:szCs w:val="28"/>
        </w:rPr>
        <w:t xml:space="preserve">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Pr>
          <w:rFonts w:eastAsia="Times New Roman" w:cs="Times New Roman" w:ascii="Times New Roman" w:hAnsi="Times New Roman"/>
          <w:sz w:val="28"/>
          <w:szCs w:val="28"/>
          <w:lang w:eastAsia="ru-RU"/>
        </w:rPr>
        <w:t>, наделившее органы местного самоуправления полномочиями по организации сбора и определению мест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их информированию, утратило силу в связи с изданием постановления Правительства Российской Федерации от 11 июля 2020 г. № 1036                         «О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 этой же даты вступили в силу Правила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утвержденные постановлением Правительства Российской Федерации                  от 28 декабря 2020 г. № 2314 (далее – Правила).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 утвержденными Правилами к полномочиям органов местного самоуправления отнесены организация создания мест накопления отработанных ртутьсодержащих ламп, в том числе в случаях, когда организация таких мест накопления не представляется возможной в силу отсутствия в многоквартирных домах помещений для организации мест накопления, а также информирование потребителей о расположении таких мест. Полномочия по организации сбора отработанных ртутьсодержащих ламп из компетенции органов местного самоуправления исключены              (пункт 5). </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Вместе с тем во многих муниципальных образованиях своевременно не были признаны утратившими силу муниципальные НПА, определяющие порядок организации сбора отработанных ртутьсодержащих ламп.</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u w:val="single"/>
          <w:lang w:eastAsia="ru-RU"/>
        </w:rPr>
      </w:pPr>
      <w:r>
        <w:rPr>
          <w:rFonts w:eastAsia="Times New Roman" w:cs="Times New Roman" w:ascii="Times New Roman" w:hAnsi="Times New Roman"/>
          <w:bCs/>
          <w:kern w:val="2"/>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15. Нарушение порядка вступления в силу муниципальных НПА</w:t>
      </w:r>
    </w:p>
    <w:p>
      <w:pPr>
        <w:pStyle w:val="Normal"/>
        <w:numPr>
          <w:ilvl w:val="0"/>
          <w:numId w:val="0"/>
        </w:numPr>
        <w:spacing w:lineRule="auto" w:line="240" w:before="0" w:after="0"/>
        <w:ind w:firstLine="709"/>
        <w:jc w:val="both"/>
        <w:outlineLvl w:val="0"/>
        <w:rPr>
          <w:rFonts w:ascii="Times New Roman" w:hAnsi="Times New Roman" w:eastAsia="Times New Roman" w:cs="Times New Roman"/>
          <w:b/>
          <w:b/>
          <w:bCs/>
          <w:kern w:val="2"/>
          <w:sz w:val="28"/>
          <w:szCs w:val="28"/>
          <w:lang w:eastAsia="ru-RU"/>
        </w:rPr>
      </w:pPr>
      <w:r>
        <w:rPr>
          <w:rFonts w:eastAsia="Times New Roman" w:cs="Times New Roman" w:ascii="Times New Roman" w:hAnsi="Times New Roman"/>
          <w:b/>
          <w:bCs/>
          <w:kern w:val="2"/>
          <w:sz w:val="28"/>
          <w:szCs w:val="28"/>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xml:space="preserve">Муниципальные НПА вступают в силу </w:t>
      </w:r>
      <w:r>
        <w:rPr>
          <w:rFonts w:eastAsia="Times New Roman" w:cs="Times New Roman" w:ascii="Times New Roman" w:hAnsi="Times New Roman"/>
          <w:b/>
          <w:bCs/>
          <w:kern w:val="2"/>
          <w:sz w:val="28"/>
          <w:szCs w:val="28"/>
          <w:lang w:eastAsia="ru-RU"/>
        </w:rPr>
        <w:t>в порядке, установленном уставом муниципального образования</w:t>
      </w:r>
      <w:r>
        <w:rPr>
          <w:rFonts w:eastAsia="Times New Roman" w:cs="Times New Roman" w:ascii="Times New Roman" w:hAnsi="Times New Roman"/>
          <w:bCs/>
          <w:kern w:val="2"/>
          <w:sz w:val="28"/>
          <w:szCs w:val="28"/>
          <w:lang w:eastAsia="ru-RU"/>
        </w:rPr>
        <w:t>,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кодексом (часть 1 статьи 47 Федерального закона № 131-ФЗ).</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На основании части 2 статьи 47 Федерального закона № 131-ФЗ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4"/>
          <w:lang w:eastAsia="ru-RU"/>
        </w:rPr>
        <w:t xml:space="preserve">В обзорном периоде по-прежнему в значительном количестве муниципальных НПА, </w:t>
      </w:r>
      <w:r>
        <w:rPr>
          <w:rFonts w:eastAsia="Times New Roman" w:cs="Times New Roman" w:ascii="Times New Roman" w:hAnsi="Times New Roman"/>
          <w:sz w:val="28"/>
          <w:szCs w:val="28"/>
          <w:lang w:eastAsia="ru-RU"/>
        </w:rPr>
        <w:t xml:space="preserve">затрагивающих права, свободы и обязанности человека и гражданина, в нарушение указанной нормы Федерального закона № 131-ФЗ предусмотрено вступление их в силу после подписания (принятия). </w:t>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 xml:space="preserve">В частности, нарушение порядка вступления в силу допущено в муниципальных НПА, </w:t>
      </w:r>
      <w:r>
        <w:rPr>
          <w:rFonts w:eastAsia="Times New Roman" w:cs="Times New Roman" w:ascii="Times New Roman" w:hAnsi="Times New Roman"/>
          <w:sz w:val="28"/>
          <w:szCs w:val="24"/>
          <w:lang w:eastAsia="ru-RU"/>
        </w:rPr>
        <w:t>определяющих: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положение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органах местного самоуправления, муниципальными служащими органов местного самоуправления, и соблюдения муниципальными служащими требований к служебному поведению;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порядок размещения сведений о доходах, расходах, об имуществе и обязательствах имущественного характера лиц, замещающих муниципальные должности, на официальном сайте муниципального образования в информационно-телекоммуникационной сети «Интернет» и (или) предоставления их для опубликования средствам массовой информации;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сообщения лицами, замещающими должности муниципальной службы, о возникновении личной заинтересованности при исполнении должностных обязанностей, которая приводит или может привести к конфликту интересов;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предварительного уведомления представителя нанимателя (работодателя) о выполнении иной оплачиваемой работы;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кодекс этики и служебного поведения муниципальных служащих;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стоимость услуг, предоставляемых согласно гарантированному перечню услуг по погребению;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тарифы на платные образовательные услуги, оказываемые муниципальным дошкольным образовательным учреждением;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норматив стоимости одного квадратного метра общей площади жилья в муниципальном образовании;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предоставления помещений для проведения встреч депутатов с избирателями, а также специально отведенные места и помещения для проведения таких встреч;</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места для отбывания осужденными наказания в виде обязательных и исправительных работ;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 утверждении муниципальных 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16. Нарушения порядка принятия муниципальных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Исходя из содержания пункта 2 части 4 статьи 36 и части 5 статьи 43 Федерального закона № 131-ФЗ, муниципальные нормативные правовые акты, принятые представительным органом муниципального образования, подписываются двумя должностными лицами местного самоуправления: председателем представительного органа и главой муниципального образования.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Необходимым условием приобретения юридической силы решениями представительного органа, имеющими нормативный характер, является подписание их главой муниципального образования. Нормативный правовой акт, принятый представительным органом муниципального образования, хотя и подписанный председателем представительного органа, но не удостоверенный подписью главы муниципального образования, обрести юридическую силу не может.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обзорном периоде выявлены муниципальные НПА, которые в нарушение вышеуказанных положений Федерального закона                                               № 131-ФЗ главой муниципального образования подписаны не были.</w:t>
      </w:r>
    </w:p>
    <w:p>
      <w:pPr>
        <w:pStyle w:val="Normal"/>
        <w:suppressAutoHyphens w:val="true"/>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17. Нарушения правил юридической техники</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Проведенный анализ нарушений правил юридической техники, допущенных в текущем году, показал идентичность характера выявленных нарушений нарушениям, допущенным в 2021 году.</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Так, по-прежнему наиболее частой ошибкой, допускаемой при признании муниципальных НПА утратившими силу, является признание утратившим силу муниципального НПА без признания утратившими силу всех муниципальных НПА, которыми в основной акт вносились изменения.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правилами юридической техники признание утратившим силу правового акта без признания утратившими силу всех правовых актов, которыми в основной акт вносились изменения, не допускается.</w:t>
      </w:r>
    </w:p>
    <w:p>
      <w:pPr>
        <w:pStyle w:val="Normal"/>
        <w:spacing w:lineRule="auto" w:line="240" w:before="0" w:after="0"/>
        <w:ind w:firstLine="540"/>
        <w:contextualSpacing/>
        <w:jc w:val="both"/>
        <w:rPr>
          <w:rFonts w:ascii="Times New Roman" w:hAnsi="Times New Roman" w:cs="Times New Roman"/>
          <w:sz w:val="28"/>
          <w:szCs w:val="28"/>
        </w:rPr>
      </w:pPr>
      <w:r>
        <w:rPr>
          <w:rFonts w:cs="Times New Roman" w:ascii="Times New Roman" w:hAnsi="Times New Roman"/>
          <w:sz w:val="28"/>
          <w:szCs w:val="28"/>
        </w:rPr>
        <w:t xml:space="preserve">При этом как сам правовой акт, так и все правовые акты, которыми в текст основного правового акта вносились изменения, </w:t>
      </w:r>
      <w:r>
        <w:rPr>
          <w:rFonts w:eastAsia="Times New Roman" w:cs="Times New Roman" w:ascii="Times New Roman" w:hAnsi="Times New Roman"/>
          <w:sz w:val="28"/>
          <w:szCs w:val="28"/>
          <w:lang w:eastAsia="ru-RU"/>
        </w:rPr>
        <w:t>включаются в перечень правовых актов, подлежащих признанию утратившими силу, в виде отдельных позиций. Вместе с тем встречаются случаи использования органами местного самоуправления таких некорректных формулировок как: «признать утратившим постановление администрации и все постановления, вносившие в него изменения» или «признать утратившим силу решение ….. «……» (в редакции решений……..)»).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обзорном периоде выявлены многочисленные случаи повторного признания утратившими силу муниципальных НПА.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Данное нарушение правил юридической техники обусловлено отсутствием в органах местного самоуправления надлежащего учета муниципальных актов, что не позволяет отследить изменение статуса действия муниципальных актов в случае их отмены или признания утратившими силу.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w:t>
      </w:r>
      <w:r>
        <w:rPr>
          <w:rFonts w:cs="Times New Roman" w:ascii="Times New Roman" w:hAnsi="Times New Roman"/>
          <w:sz w:val="28"/>
          <w:szCs w:val="28"/>
        </w:rPr>
        <w:t xml:space="preserve"> </w:t>
      </w:r>
      <w:r>
        <w:rPr>
          <w:rFonts w:cs="Times New Roman" w:ascii="Times New Roman" w:hAnsi="Times New Roman"/>
          <w:sz w:val="28"/>
          <w:szCs w:val="28"/>
        </w:rPr>
        <w:t>Грубым нарушением правил юридической техники является признание утратившим силу отменяющего муниципального НПА с целью «воскрешения» муниципального НПА, признанного в нем утратившим силу.</w:t>
      </w:r>
    </w:p>
    <w:p>
      <w:pPr>
        <w:pStyle w:val="Normal"/>
        <w:spacing w:lineRule="auto" w:line="240" w:before="0" w:after="0"/>
        <w:ind w:firstLine="709"/>
        <w:jc w:val="both"/>
        <w:rPr>
          <w:rFonts w:ascii="TimesNewRomanCyr" w:hAnsi="TimesNewRomanCyr"/>
          <w:sz w:val="28"/>
          <w:szCs w:val="28"/>
        </w:rPr>
      </w:pPr>
      <w:r>
        <w:rPr>
          <w:rFonts w:cs="Times New Roman" w:ascii="Times New Roman" w:hAnsi="Times New Roman"/>
          <w:sz w:val="28"/>
          <w:szCs w:val="28"/>
        </w:rPr>
        <w:t>В данном случае органами местного самоуправления не учитывается, что при</w:t>
      </w:r>
      <w:r>
        <w:rPr>
          <w:rFonts w:ascii="TimesNewRomanCyr" w:hAnsi="TimesNewRomanCyr"/>
          <w:sz w:val="28"/>
          <w:szCs w:val="28"/>
        </w:rPr>
        <w:t xml:space="preserve"> признании утратившим силу муниципального НПА, которым ранее признавался утратившим силу другой муниципальный НПА, ранее признанный утратившим силу муниципальный НПА не становится вновь действующим. При необходимости урегулирования аналогичных правоотношений, которые ранее регулировались в признанном утратившем силу муниципальном НПА, необходимо принять новый муниципальный НПА.</w:t>
      </w:r>
    </w:p>
    <w:p>
      <w:pPr>
        <w:pStyle w:val="Normal"/>
        <w:shd w:val="clear" w:color="auto" w:fill="FFFFFF"/>
        <w:spacing w:lineRule="auto" w:line="240" w:before="0" w:after="0"/>
        <w:ind w:firstLine="709"/>
        <w:jc w:val="both"/>
        <w:textAlignment w:val="baseline"/>
        <w:rPr>
          <w:rFonts w:ascii="TimesNewRomanCyr" w:hAnsi="TimesNewRomanCyr"/>
          <w:sz w:val="28"/>
          <w:szCs w:val="28"/>
        </w:rPr>
      </w:pPr>
      <w:r>
        <w:rPr>
          <w:rFonts w:ascii="TimesNewRomanCyr" w:hAnsi="TimesNewRomanCyr"/>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w:t>
      </w:r>
      <w:r>
        <w:rPr>
          <w:rFonts w:cs="Times New Roman" w:ascii="Times New Roman" w:hAnsi="Times New Roman"/>
          <w:sz w:val="28"/>
          <w:szCs w:val="28"/>
        </w:rPr>
        <w:t xml:space="preserve"> </w:t>
      </w:r>
      <w:r>
        <w:rPr>
          <w:rFonts w:eastAsia="Times New Roman" w:cs="Times New Roman" w:ascii="Times New Roman" w:hAnsi="Times New Roman"/>
          <w:sz w:val="28"/>
          <w:szCs w:val="24"/>
          <w:lang w:eastAsia="ru-RU"/>
        </w:rPr>
        <w:t xml:space="preserve">Распространенными являются случаи </w:t>
      </w:r>
      <w:r>
        <w:rPr>
          <w:rFonts w:cs="Times New Roman" w:ascii="Times New Roman" w:hAnsi="Times New Roman"/>
          <w:sz w:val="28"/>
          <w:szCs w:val="28"/>
        </w:rPr>
        <w:t xml:space="preserve">включения в перечень муниципальных НПА, подлежащих признанию утратившими силу, муниципальных НПА временного характера, срок действия которых истек.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Вместе с тем </w:t>
      </w:r>
      <w:r>
        <w:rPr>
          <w:rFonts w:eastAsia="Times New Roman" w:cs="Times New Roman" w:ascii="Times New Roman" w:hAnsi="Times New Roman"/>
          <w:sz w:val="28"/>
          <w:szCs w:val="28"/>
          <w:lang w:eastAsia="ru-RU"/>
        </w:rPr>
        <w:t>при принятии правого акта временного характера (например, на год) признание данного правового акта утратившим силу не требуется. Действие указанного правового акта прекратится по истечении периода времени, на который принят правовой акт.</w:t>
      </w:r>
      <w:r>
        <w:rPr>
          <w:rFonts w:cs="Times New Roman" w:ascii="Times New Roman" w:hAnsi="Times New Roman"/>
          <w:sz w:val="28"/>
          <w:szCs w:val="28"/>
        </w:rPr>
        <w:t xml:space="preserve"> Муниципальные НПА временного характера включаются в перечень муниципальных НПА, подлежащих признанию утратившими силу, только в случае, если срок их действия не истек.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образованиях сложилась ошибочная практика частичного признания утратившими силу муниципальных правовых актов с сохранением действия правовых норм, признающих утратившими силу ранее изданные муниципальные правовые акты или их структурные единицы.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общепринятыми правилами юридической техники, если в правовом акте имеются структурные единицы, которыми признавались утратившими силу ранее изданные правовые акты или их структурные единицы, то при необходимости признать утратившим силу данный правовой  акт, он признается утратившим силу полностью независимо от наличия в нем таких правовых норм. Данное правило действие ранее утративших силу правовых норм не восстанавливает.</w:t>
      </w:r>
    </w:p>
    <w:p>
      <w:pPr>
        <w:pStyle w:val="Normal"/>
        <w:shd w:val="clear" w:color="auto" w:fill="FFFFFF"/>
        <w:spacing w:lineRule="auto" w:line="240" w:before="0" w:after="0"/>
        <w:textAlignment w:val="baseline"/>
        <w:rPr>
          <w:rFonts w:ascii="Arial" w:hAnsi="Arial" w:eastAsia="Times New Roman" w:cs="Arial"/>
          <w:color w:val="000000"/>
          <w:sz w:val="18"/>
          <w:szCs w:val="18"/>
          <w:lang w:eastAsia="ru-RU"/>
        </w:rPr>
      </w:pPr>
      <w:r>
        <w:rPr>
          <w:rFonts w:eastAsia="Times New Roman" w:cs="Arial" w:ascii="Arial" w:hAnsi="Arial"/>
          <w:color w:val="000000"/>
          <w:sz w:val="18"/>
          <w:szCs w:val="1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Допускаются многочисленные ошибки и при внесении изменений в муниципальные НПА.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Так, часто допускаемой ошибкой является внесение изменений в основной </w:t>
      </w:r>
      <w:r>
        <w:rPr>
          <w:rFonts w:cs="Times New Roman" w:ascii="Times New Roman" w:hAnsi="Times New Roman"/>
          <w:sz w:val="28"/>
          <w:szCs w:val="28"/>
        </w:rPr>
        <w:t>муниципальный НПА посредством внесения изменений в изменяющий его муниципальный НПА. Внесение изменений подобным образом является недопустимым, поскольку в соответствии с правилами юридической техники внесение изменений в основной муниципальный НПА должно осуществляться только путем непосредственного внесения в него изменений.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примеру, в административный регламент внесены изменения, в соответствии с которыми данный регламент изложен в новой редакции. Вместе с тем последующие изменения вносились не в основной муниципальный НПА, утверждающий административный регламент, а в изменяющий его муниципальный НПА, излагающий административный регламент в новой редакции.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В нарушение правил юридической техники в муниципальных НПА допускается </w:t>
      </w:r>
      <w:r>
        <w:rPr>
          <w:rFonts w:cs="Times New Roman" w:ascii="Times New Roman" w:hAnsi="Times New Roman"/>
          <w:sz w:val="28"/>
          <w:szCs w:val="28"/>
        </w:rPr>
        <w:t>изменение нумерации разделов, глав, статей, частей, пунктов, подпунктов муниципального НПА при внесении в него изменений и признании утратившими силу его структурных единиц,</w:t>
      </w:r>
      <w:r>
        <w:rPr>
          <w:rFonts w:ascii="TimesNewRomanCyr" w:hAnsi="TimesNewRomanCyr"/>
          <w:sz w:val="28"/>
          <w:szCs w:val="28"/>
        </w:rPr>
        <w:t xml:space="preserve"> а также производится пересчет нумерованных структурных единиц муниципального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В соответствии с правилами юридической техники при внесении изменений в структурные единицы муниципального НПА подсчет ведется с учетом структурных элементов (разделов, статей, частей, пунктов, подпунктов), признанных утратившими юридическую силу. При признании структурной единицы муниципального НПА утратившей силу ее место в структуре муниципального НПА сохраняется и не заменяется другими структурными единицами. Перенумерование и пересчет структурных единиц муниципального НПА в случае, если в иных муниципальных НПА имелись ссылки на конкретную перенумерованную структурную единицу, могут повлечь за собой такое изменение правового содержания ссылки, которое не было предусмотрено.</w:t>
      </w:r>
    </w:p>
    <w:p>
      <w:pPr>
        <w:pStyle w:val="Normal"/>
        <w:shd w:val="clear" w:color="auto" w:fill="FFFFFF"/>
        <w:spacing w:lineRule="auto" w:line="240" w:before="0" w:after="0"/>
        <w:ind w:firstLine="709"/>
        <w:jc w:val="both"/>
        <w:textAlignment w:val="baseline"/>
        <w:rPr>
          <w:rFonts w:ascii="TimesNewRomanCyr" w:hAnsi="TimesNewRomanCyr"/>
          <w:sz w:val="28"/>
          <w:szCs w:val="28"/>
        </w:rPr>
      </w:pPr>
      <w:r>
        <w:rPr>
          <w:rFonts w:ascii="TimesNewRomanCyr" w:hAnsi="TimesNewRomanCyr"/>
          <w:sz w:val="28"/>
          <w:szCs w:val="28"/>
        </w:rPr>
      </w:r>
    </w:p>
    <w:p>
      <w:pPr>
        <w:pStyle w:val="Normal"/>
        <w:spacing w:lineRule="auto" w:line="240" w:before="0" w:after="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Также допускаются многочисленные ошибки </w:t>
      </w:r>
      <w:r>
        <w:rPr>
          <w:rFonts w:eastAsia="Times New Roman" w:cs="Times New Roman" w:ascii="Times New Roman" w:hAnsi="Times New Roman"/>
          <w:sz w:val="28"/>
          <w:szCs w:val="24"/>
          <w:lang w:eastAsia="ru-RU"/>
        </w:rPr>
        <w:t>при внесении изменений в муниципальный НПА при указании структурной единицы исходного муниципального НПА, в который вносятся изменения. Преимущественно такие ошибки связаны с неправильным подсчетом абзацев</w:t>
      </w:r>
      <w:r>
        <w:rPr>
          <w:rFonts w:cs="Times New Roman" w:ascii="Times New Roman" w:hAnsi="Times New Roman"/>
          <w:sz w:val="28"/>
          <w:szCs w:val="28"/>
        </w:rPr>
        <w:t xml:space="preserve"> структурной единицы муниципального НПА. Как правило, органами местного самоуправления ошибочно не включается в подсчет первый абзац, с которого начинается структурная единица, в составе которой он находится.</w:t>
      </w:r>
    </w:p>
    <w:p>
      <w:pPr>
        <w:pStyle w:val="Normal"/>
        <w:spacing w:lineRule="auto" w:line="240" w:before="0" w:after="0"/>
        <w:ind w:firstLine="709"/>
        <w:jc w:val="both"/>
        <w:rPr>
          <w:rFonts w:ascii="TimesNewRomanCyr" w:hAnsi="TimesNewRomanCyr"/>
          <w:sz w:val="28"/>
          <w:szCs w:val="28"/>
        </w:rPr>
      </w:pPr>
      <w:r>
        <w:rPr>
          <w:rFonts w:ascii="TimesNewRomanCyr" w:hAnsi="TimesNewRomanCyr"/>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Нередки случаи, когда органы местного самоуправления при формулировании норм, определяющих порядок вступления в силу муниципального НПА, ошибочно используют словосочетание «распространяется на правоотношения» для определения будущей даты вступления в силу муниципального НПА.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правилами юридической техники словосочетание «распространяется на правоотношения» применяется в правовых актах с целью придания его нормам обратной юридической силы.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 xml:space="preserve">● </w:t>
      </w:r>
      <w:r>
        <w:rPr>
          <w:rFonts w:eastAsia="Times New Roman" w:cs="Times New Roman" w:ascii="Times New Roman" w:hAnsi="Times New Roman"/>
          <w:sz w:val="28"/>
          <w:szCs w:val="28"/>
          <w:lang w:eastAsia="ru-RU"/>
        </w:rPr>
        <w:t>Также к наиболее часто встречаемым в обзорном периоде нарушениям правил юридической техники следует отнести:</w:t>
      </w:r>
    </w:p>
    <w:p>
      <w:pPr>
        <w:pStyle w:val="Normal"/>
        <w:spacing w:lineRule="auto" w:line="240" w:before="0" w:after="0"/>
        <w:ind w:firstLine="709"/>
        <w:contextualSpacing/>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несоответствие наименования муниципального НПА его содержанию;</w:t>
      </w:r>
    </w:p>
    <w:p>
      <w:pPr>
        <w:pStyle w:val="Normal"/>
        <w:spacing w:lineRule="auto" w:line="240" w:before="0" w:after="0"/>
        <w:ind w:firstLine="709"/>
        <w:contextualSpacing/>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6"/>
          <w:sz w:val="28"/>
          <w:szCs w:val="28"/>
          <w:lang w:eastAsia="ru-RU"/>
        </w:rPr>
        <w:t>неправильный выбор норм федерального законодательства и законодательства Ставропольского края</w:t>
      </w:r>
      <w:r>
        <w:rPr>
          <w:rFonts w:eastAsia="Times New Roman" w:cs="Times New Roman" w:ascii="Times New Roman" w:hAnsi="Times New Roman"/>
          <w:spacing w:val="2"/>
          <w:sz w:val="28"/>
          <w:szCs w:val="28"/>
          <w:lang w:eastAsia="ru-RU"/>
        </w:rPr>
        <w:t>, примененного при принятии муниципального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ошибки при указании реквизитов нормативных правовых актов Российской Федерации и их структурных единиц;</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наличие в муниципальных НПА ссылок на утративший силу нормативный правовой акт;</w:t>
      </w:r>
    </w:p>
    <w:p>
      <w:pPr>
        <w:pStyle w:val="Normal"/>
        <w:spacing w:lineRule="auto" w:line="240" w:before="0" w:after="0"/>
        <w:ind w:firstLine="709"/>
        <w:contextualSpacing/>
        <w:jc w:val="both"/>
        <w:rPr>
          <w:rFonts w:ascii="Times New Roman" w:hAnsi="Times New Roman" w:eastAsia="Times New Roman" w:cs="Times New Roman"/>
          <w:spacing w:val="6"/>
          <w:sz w:val="28"/>
          <w:szCs w:val="28"/>
          <w:lang w:eastAsia="ru-RU"/>
        </w:rPr>
      </w:pPr>
      <w:r>
        <w:rPr>
          <w:rFonts w:eastAsia="Times New Roman" w:cs="Times New Roman" w:ascii="Times New Roman" w:hAnsi="Times New Roman"/>
          <w:spacing w:val="6"/>
          <w:sz w:val="28"/>
          <w:szCs w:val="28"/>
          <w:lang w:eastAsia="ru-RU"/>
        </w:rPr>
        <w:t>наличие некорректных ссылок на нормы федерального законодательства и законодательства Ставропольского края;</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дублирование норм федерального законодательства, имеющих прямое действие на всей территории Российской Федерации, не требующих воспроизведения в муниципальных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наличие в тексте муниципального НПА дублирующих друг друга правовых норм;</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нарушение нумерации структурных единиц муниципального НПА.</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w:t>
      </w:r>
    </w:p>
    <w:p>
      <w:pPr>
        <w:pStyle w:val="Normal"/>
        <w:widowControl/>
        <w:bidi w:val="0"/>
        <w:spacing w:lineRule="auto" w:line="276" w:before="0" w:after="200"/>
        <w:jc w:val="left"/>
        <w:rPr/>
      </w:pPr>
      <w:r>
        <w:rPr/>
      </w:r>
    </w:p>
    <w:sectPr>
      <w:headerReference w:type="default" r:id="rId2"/>
      <w:type w:val="nextPage"/>
      <w:pgSz w:w="11906" w:h="16838"/>
      <w:pgMar w:left="1985" w:right="567" w:gutter="0" w:header="709" w:top="1418"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NewRomanCyr">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94797262"/>
    </w:sdtPr>
    <w:sdtContent>
      <w:p>
        <w:pPr>
          <w:pStyle w:val="Style29"/>
          <w:jc w:val="right"/>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PAGE </w:instrText>
        </w:r>
        <w:r>
          <w:rPr>
            <w:sz w:val="28"/>
            <w:szCs w:val="28"/>
            <w:rFonts w:cs="Times New Roman" w:ascii="Times New Roman" w:hAnsi="Times New Roman"/>
          </w:rPr>
          <w:fldChar w:fldCharType="separate"/>
        </w:r>
        <w:r>
          <w:rPr>
            <w:sz w:val="28"/>
            <w:szCs w:val="28"/>
            <w:rFonts w:cs="Times New Roman" w:ascii="Times New Roman" w:hAnsi="Times New Roman"/>
          </w:rPr>
          <w:t>41</w:t>
        </w:r>
        <w:r>
          <w:rPr>
            <w:sz w:val="28"/>
            <w:szCs w:val="28"/>
            <w:rFonts w:cs="Times New Roman" w:ascii="Times New Roman" w:hAnsi="Times New Roman"/>
          </w:rPr>
          <w:fldChar w:fldCharType="end"/>
        </w:r>
      </w:p>
    </w:sdtContent>
  </w:sdt>
  <w:p>
    <w:pPr>
      <w:pStyle w:val="Style29"/>
      <w:rPr/>
    </w:pPr>
    <w:r>
      <w:rPr/>
    </w:r>
  </w:p>
</w:hdr>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255d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9a7242"/>
    <w:rPr/>
  </w:style>
  <w:style w:type="character" w:styleId="Style15" w:customStyle="1">
    <w:name w:val="Нижний колонтитул Знак"/>
    <w:basedOn w:val="DefaultParagraphFont"/>
    <w:link w:val="a5"/>
    <w:uiPriority w:val="99"/>
    <w:qFormat/>
    <w:rsid w:val="009a7242"/>
    <w:rPr/>
  </w:style>
  <w:style w:type="character" w:styleId="Style16" w:customStyle="1">
    <w:name w:val="Текст выноски Знак"/>
    <w:basedOn w:val="DefaultParagraphFont"/>
    <w:link w:val="a8"/>
    <w:uiPriority w:val="99"/>
    <w:semiHidden/>
    <w:qFormat/>
    <w:rsid w:val="009a7242"/>
    <w:rPr>
      <w:rFonts w:ascii="Tahoma" w:hAnsi="Tahoma" w:cs="Tahoma"/>
      <w:sz w:val="16"/>
      <w:szCs w:val="16"/>
    </w:rPr>
  </w:style>
  <w:style w:type="character" w:styleId="Fontstyle01" w:customStyle="1">
    <w:name w:val="fontstyle01"/>
    <w:basedOn w:val="DefaultParagraphFont"/>
    <w:qFormat/>
    <w:rsid w:val="009a7242"/>
    <w:rPr>
      <w:rFonts w:ascii="TimesNewRomanCyr" w:hAnsi="TimesNewRomanCyr"/>
      <w:b w:val="false"/>
      <w:bCs w:val="false"/>
      <w:i w:val="false"/>
      <w:iCs w:val="false"/>
      <w:color w:val="242021"/>
      <w:sz w:val="28"/>
      <w:szCs w:val="28"/>
    </w:rPr>
  </w:style>
  <w:style w:type="character" w:styleId="ConsPlusNormal" w:customStyle="1">
    <w:name w:val="ConsPlusNormal Знак"/>
    <w:link w:val="ConsPlusNormal0"/>
    <w:qFormat/>
    <w:locked/>
    <w:rsid w:val="009a7242"/>
    <w:rPr>
      <w:rFonts w:ascii="Times New Roman" w:hAnsi="Times New Roman" w:cs="Times New Roman"/>
      <w:sz w:val="28"/>
      <w:szCs w:val="28"/>
    </w:rPr>
  </w:style>
  <w:style w:type="character" w:styleId="Style17" w:customStyle="1">
    <w:name w:val="Название Знак"/>
    <w:basedOn w:val="DefaultParagraphFont"/>
    <w:link w:val="ab"/>
    <w:qFormat/>
    <w:rsid w:val="009a7242"/>
    <w:rPr>
      <w:rFonts w:ascii="Times New Roman" w:hAnsi="Times New Roman" w:eastAsia="Times New Roman" w:cs="Times New Roman"/>
      <w:sz w:val="28"/>
      <w:szCs w:val="24"/>
      <w:lang w:eastAsia="ru-RU"/>
    </w:rPr>
  </w:style>
  <w:style w:type="character" w:styleId="Annotationreference">
    <w:name w:val="annotation reference"/>
    <w:basedOn w:val="DefaultParagraphFont"/>
    <w:uiPriority w:val="99"/>
    <w:semiHidden/>
    <w:unhideWhenUsed/>
    <w:qFormat/>
    <w:rsid w:val="009a7242"/>
    <w:rPr>
      <w:sz w:val="16"/>
      <w:szCs w:val="16"/>
    </w:rPr>
  </w:style>
  <w:style w:type="character" w:styleId="Style18" w:customStyle="1">
    <w:name w:val="Текст примечания Знак"/>
    <w:basedOn w:val="DefaultParagraphFont"/>
    <w:link w:val="ae"/>
    <w:uiPriority w:val="99"/>
    <w:semiHidden/>
    <w:qFormat/>
    <w:rsid w:val="009a7242"/>
    <w:rPr>
      <w:sz w:val="20"/>
      <w:szCs w:val="20"/>
    </w:rPr>
  </w:style>
  <w:style w:type="character" w:styleId="Style19" w:customStyle="1">
    <w:name w:val="Тема примечания Знак"/>
    <w:basedOn w:val="Style18"/>
    <w:link w:val="af0"/>
    <w:uiPriority w:val="99"/>
    <w:semiHidden/>
    <w:qFormat/>
    <w:rsid w:val="009a7242"/>
    <w:rPr>
      <w:b/>
      <w:bCs/>
      <w:sz w:val="20"/>
      <w:szCs w:val="20"/>
    </w:rPr>
  </w:style>
  <w:style w:type="character" w:styleId="Style20" w:customStyle="1">
    <w:name w:val="Текст сноски Знак"/>
    <w:basedOn w:val="DefaultParagraphFont"/>
    <w:link w:val="af2"/>
    <w:qFormat/>
    <w:rsid w:val="009a7242"/>
    <w:rPr>
      <w:rFonts w:ascii="Times New Roman" w:hAnsi="Times New Roman" w:eastAsia="Times New Roman" w:cs="Times New Roman"/>
      <w:sz w:val="20"/>
      <w:szCs w:val="20"/>
      <w:lang w:eastAsia="ru-RU"/>
    </w:rPr>
  </w:style>
  <w:style w:type="character" w:styleId="Style21">
    <w:name w:val="Привязка сноски"/>
    <w:rPr>
      <w:vertAlign w:val="superscript"/>
    </w:rPr>
  </w:style>
  <w:style w:type="character" w:styleId="FootnoteCharacters">
    <w:name w:val="Footnote Characters"/>
    <w:basedOn w:val="DefaultParagraphFont"/>
    <w:qFormat/>
    <w:rsid w:val="009a7242"/>
    <w:rPr>
      <w:vertAlign w:val="superscript"/>
    </w:rPr>
  </w:style>
  <w:style w:type="character" w:styleId="Style22">
    <w:name w:val="Интернет-ссылка"/>
    <w:basedOn w:val="DefaultParagraphFont"/>
    <w:uiPriority w:val="99"/>
    <w:unhideWhenUsed/>
    <w:rsid w:val="008c0bfc"/>
    <w:rPr>
      <w:color w:val="0000FF" w:themeColor="hyperlink"/>
      <w:u w:val="single"/>
    </w:rPr>
  </w:style>
  <w:style w:type="paragraph" w:styleId="Style23">
    <w:name w:val="Заголовок"/>
    <w:basedOn w:val="Normal"/>
    <w:next w:val="Style24"/>
    <w:qFormat/>
    <w:pPr>
      <w:keepNext w:val="true"/>
      <w:spacing w:before="240" w:after="120"/>
    </w:pPr>
    <w:rPr>
      <w:rFonts w:ascii="Liberation Sans" w:hAnsi="Liberation Sans" w:eastAsia="Tahoma" w:cs="Droid Sans Devanagari"/>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Droid Sans Devanagari"/>
    </w:rPr>
  </w:style>
  <w:style w:type="paragraph" w:styleId="Style26">
    <w:name w:val="Caption"/>
    <w:basedOn w:val="Normal"/>
    <w:qFormat/>
    <w:pPr>
      <w:suppressLineNumbers/>
      <w:spacing w:before="120" w:after="120"/>
    </w:pPr>
    <w:rPr>
      <w:rFonts w:cs="Droid Sans Devanagari"/>
      <w:i/>
      <w:iCs/>
      <w:sz w:val="24"/>
      <w:szCs w:val="24"/>
    </w:rPr>
  </w:style>
  <w:style w:type="paragraph" w:styleId="Style27">
    <w:name w:val="Указатель"/>
    <w:basedOn w:val="Normal"/>
    <w:qFormat/>
    <w:pPr>
      <w:suppressLineNumbers/>
    </w:pPr>
    <w:rPr>
      <w:rFonts w:cs="Droid Sans Devanagari"/>
      <w:lang w:val="zxx" w:eastAsia="zxx" w:bidi="zxx"/>
    </w:rPr>
  </w:style>
  <w:style w:type="paragraph" w:styleId="Style28">
    <w:name w:val="Колонтитул"/>
    <w:basedOn w:val="Normal"/>
    <w:qFormat/>
    <w:pPr/>
    <w:rPr/>
  </w:style>
  <w:style w:type="paragraph" w:styleId="Style29">
    <w:name w:val="Header"/>
    <w:basedOn w:val="Normal"/>
    <w:link w:val="a4"/>
    <w:uiPriority w:val="99"/>
    <w:unhideWhenUsed/>
    <w:rsid w:val="009a7242"/>
    <w:pPr>
      <w:tabs>
        <w:tab w:val="clear" w:pos="708"/>
        <w:tab w:val="center" w:pos="4677" w:leader="none"/>
        <w:tab w:val="right" w:pos="9355" w:leader="none"/>
      </w:tabs>
      <w:spacing w:lineRule="auto" w:line="240" w:before="0" w:after="0"/>
    </w:pPr>
    <w:rPr/>
  </w:style>
  <w:style w:type="paragraph" w:styleId="Style30">
    <w:name w:val="Footer"/>
    <w:basedOn w:val="Normal"/>
    <w:link w:val="a6"/>
    <w:uiPriority w:val="99"/>
    <w:unhideWhenUsed/>
    <w:rsid w:val="009a7242"/>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9a7242"/>
    <w:pPr>
      <w:spacing w:before="0" w:after="200"/>
      <w:ind w:left="720" w:hanging="0"/>
      <w:contextualSpacing/>
    </w:pPr>
    <w:rPr/>
  </w:style>
  <w:style w:type="paragraph" w:styleId="BalloonText">
    <w:name w:val="Balloon Text"/>
    <w:basedOn w:val="Normal"/>
    <w:link w:val="a9"/>
    <w:uiPriority w:val="99"/>
    <w:semiHidden/>
    <w:unhideWhenUsed/>
    <w:qFormat/>
    <w:rsid w:val="009a7242"/>
    <w:pPr>
      <w:spacing w:lineRule="auto" w:line="240" w:before="0" w:after="0"/>
    </w:pPr>
    <w:rPr>
      <w:rFonts w:ascii="Tahoma" w:hAnsi="Tahoma" w:cs="Tahoma"/>
      <w:sz w:val="16"/>
      <w:szCs w:val="16"/>
    </w:rPr>
  </w:style>
  <w:style w:type="paragraph" w:styleId="ConsPlusNormal1" w:customStyle="1">
    <w:name w:val="ConsPlusNormal"/>
    <w:link w:val="ConsPlusNormal"/>
    <w:qFormat/>
    <w:rsid w:val="009a7242"/>
    <w:pPr>
      <w:widowControl/>
      <w:bidi w:val="0"/>
      <w:spacing w:lineRule="auto" w:line="240" w:before="0" w:after="0"/>
      <w:jc w:val="left"/>
    </w:pPr>
    <w:rPr>
      <w:rFonts w:ascii="Times New Roman" w:hAnsi="Times New Roman" w:cs="Times New Roman" w:eastAsia="Calibri" w:eastAsiaTheme="minorHAnsi"/>
      <w:color w:val="auto"/>
      <w:kern w:val="0"/>
      <w:sz w:val="28"/>
      <w:szCs w:val="28"/>
      <w:lang w:val="ru-RU" w:eastAsia="en-US" w:bidi="ar-SA"/>
    </w:rPr>
  </w:style>
  <w:style w:type="paragraph" w:styleId="Style31">
    <w:name w:val="Title"/>
    <w:basedOn w:val="Normal"/>
    <w:link w:val="ac"/>
    <w:qFormat/>
    <w:rsid w:val="009a7242"/>
    <w:pPr>
      <w:spacing w:lineRule="auto" w:line="240" w:before="0" w:after="0"/>
      <w:ind w:firstLine="5760"/>
      <w:jc w:val="center"/>
    </w:pPr>
    <w:rPr>
      <w:rFonts w:ascii="Times New Roman" w:hAnsi="Times New Roman" w:eastAsia="Times New Roman" w:cs="Times New Roman"/>
      <w:sz w:val="28"/>
      <w:szCs w:val="24"/>
      <w:lang w:eastAsia="ru-RU"/>
    </w:rPr>
  </w:style>
  <w:style w:type="paragraph" w:styleId="ConsPlusTitle" w:customStyle="1">
    <w:name w:val="ConsPlusTitle"/>
    <w:qFormat/>
    <w:rsid w:val="009a7242"/>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Annotationtext">
    <w:name w:val="annotation text"/>
    <w:basedOn w:val="Normal"/>
    <w:link w:val="af"/>
    <w:uiPriority w:val="99"/>
    <w:semiHidden/>
    <w:unhideWhenUsed/>
    <w:qFormat/>
    <w:rsid w:val="009a7242"/>
    <w:pPr>
      <w:spacing w:lineRule="auto" w:line="240"/>
    </w:pPr>
    <w:rPr>
      <w:sz w:val="20"/>
      <w:szCs w:val="20"/>
    </w:rPr>
  </w:style>
  <w:style w:type="paragraph" w:styleId="Annotationsubject">
    <w:name w:val="annotation subject"/>
    <w:basedOn w:val="Annotationtext"/>
    <w:next w:val="Annotationtext"/>
    <w:link w:val="af1"/>
    <w:uiPriority w:val="99"/>
    <w:semiHidden/>
    <w:unhideWhenUsed/>
    <w:qFormat/>
    <w:rsid w:val="009a7242"/>
    <w:pPr/>
    <w:rPr>
      <w:b/>
      <w:bCs/>
    </w:rPr>
  </w:style>
  <w:style w:type="paragraph" w:styleId="Style32">
    <w:name w:val="Footnote Text"/>
    <w:basedOn w:val="Normal"/>
    <w:link w:val="af3"/>
    <w:rsid w:val="009a7242"/>
    <w:pPr>
      <w:spacing w:lineRule="auto" w:line="240" w:before="0" w:after="0"/>
    </w:pPr>
    <w:rPr>
      <w:rFonts w:ascii="Times New Roman" w:hAnsi="Times New Roman" w:eastAsia="Times New Roman" w:cs="Times New Roman"/>
      <w:sz w:val="20"/>
      <w:szCs w:val="20"/>
      <w:lang w:eastAsia="ru-RU"/>
    </w:rPr>
  </w:style>
  <w:style w:type="paragraph" w:styleId="Style33" w:customStyle="1">
    <w:name w:val="Обычный текст"/>
    <w:basedOn w:val="Normal"/>
    <w:qFormat/>
    <w:rsid w:val="0002761c"/>
    <w:pPr>
      <w:spacing w:lineRule="auto" w:line="240" w:before="0" w:after="0"/>
      <w:ind w:firstLine="567"/>
      <w:jc w:val="both"/>
    </w:pPr>
    <w:rPr>
      <w:rFonts w:ascii="Arial" w:hAnsi="Arial" w:eastAsia="Times New Roman" w:cs="Times New Roman"/>
      <w:sz w:val="28"/>
      <w:szCs w:val="24"/>
      <w:lang w:eastAsia="ru-RU"/>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9a7242"/>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9a72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Сетка таблицы1"/>
    <w:basedOn w:val="a1"/>
    <w:uiPriority w:val="59"/>
    <w:rsid w:val="009a72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55C9C-2DCE-426E-A470-4215A6CBA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Application>LibreOffice/7.2.7.2$Linux_X86_64 LibreOffice_project/20$Build-2</Application>
  <AppVersion>15.0000</AppVersion>
  <Pages>20</Pages>
  <Words>11801</Words>
  <Characters>88283</Characters>
  <CharactersWithSpaces>101087</CharactersWithSpaces>
  <Paragraphs>296</Paragraphs>
  <Company>Правительство Ставропольского края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2022-10-19T07:50:00Z</dcterms:created>
  <dc:creator>Мак Ольга Петровна (445-02-02 - mak_op)</dc:creator>
  <dc:description/>
  <dc:language>ru-RU</dc:language>
  <cp:lastModifiedBy>Джемесюк Надежда Дмитриевна (445-02-02 - dzhemesjuk_nd)</cp:lastModifiedBy>
  <cp:lastPrinted>2022-12-14T12:12:00Z</cp:lastPrinted>
  <dcterms:modified xsi:type="dcterms:W3CDTF">2022-12-14T13:38:00Z</dcterms:modified>
  <cp:revision>139</cp:revision>
  <dc:subject/>
  <dc:title/>
</cp:coreProperties>
</file>

<file path=docProps/custom.xml><?xml version="1.0" encoding="utf-8"?>
<Properties xmlns="http://schemas.openxmlformats.org/officeDocument/2006/custom-properties" xmlns:vt="http://schemas.openxmlformats.org/officeDocument/2006/docPropsVTypes"/>
</file>