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jc w:val="center"/>
        <w:outlineLvl w:val="0"/>
        <w:rPr>
          <w:color w:val="0000ff"/>
          <w:spacing w:val="-5"/>
          <w:sz w:val="28"/>
          <w:szCs w:val="28"/>
        </w:rPr>
      </w:pPr>
      <w:r>
        <w:rPr>
          <w:color w:val="0000ff"/>
          <w:spacing w:val="-5"/>
          <w:sz w:val="28"/>
          <w:szCs w:val="28"/>
        </w:rPr>
        <w:t xml:space="preserve">(</w:t>
      </w:r>
      <w:r>
        <w:rPr>
          <w:color w:val="0000ff"/>
          <w:spacing w:val="-5"/>
          <w:sz w:val="28"/>
          <w:szCs w:val="28"/>
        </w:rPr>
        <w:t xml:space="preserve">в редакции от </w:t>
      </w:r>
      <w:r>
        <w:rPr>
          <w:color w:val="0000ff"/>
          <w:spacing w:val="-5"/>
          <w:sz w:val="28"/>
          <w:szCs w:val="28"/>
        </w:rPr>
        <w:t xml:space="preserve">01</w:t>
      </w:r>
      <w:r>
        <w:rPr>
          <w:color w:val="0000ff"/>
          <w:spacing w:val="-5"/>
          <w:sz w:val="28"/>
          <w:szCs w:val="28"/>
        </w:rPr>
        <w:t xml:space="preserve"> </w:t>
      </w:r>
      <w:r>
        <w:rPr>
          <w:color w:val="0000ff"/>
          <w:spacing w:val="-5"/>
          <w:sz w:val="28"/>
          <w:szCs w:val="28"/>
        </w:rPr>
        <w:t xml:space="preserve">ноября </w:t>
      </w:r>
      <w:r>
        <w:rPr>
          <w:color w:val="0000ff"/>
          <w:spacing w:val="-5"/>
          <w:sz w:val="28"/>
          <w:szCs w:val="28"/>
        </w:rPr>
        <w:t xml:space="preserve">2024 года № </w:t>
      </w:r>
      <w:r>
        <w:rPr>
          <w:color w:val="0000ff"/>
          <w:spacing w:val="-5"/>
          <w:sz w:val="28"/>
          <w:szCs w:val="28"/>
        </w:rPr>
        <w:t xml:space="preserve">99</w:t>
      </w:r>
      <w:r>
        <w:rPr>
          <w:color w:val="0000ff"/>
          <w:spacing w:val="-5"/>
          <w:sz w:val="28"/>
          <w:szCs w:val="28"/>
        </w:rPr>
        <w:t xml:space="preserve">)</w:t>
      </w:r>
      <w:r>
        <w:rPr>
          <w:color w:val="0000ff"/>
          <w:spacing w:val="-5"/>
          <w:sz w:val="28"/>
          <w:szCs w:val="28"/>
        </w:rPr>
      </w:r>
    </w:p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СОВЕТ ДЕПУТАТОВ ПЕТРОВСКОГО МУНИЦИПАЛЬНОГО ОКРУГА</w:t>
      </w:r>
    </w:p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СТАВРОПОЛЬСКОГО КРАЯ</w:t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ВТОРОГО СОЗЫВА</w:t>
      </w:r>
      <w:r>
        <w:rPr>
          <w:spacing w:val="-4"/>
          <w:sz w:val="28"/>
          <w:szCs w:val="28"/>
        </w:rPr>
      </w:r>
    </w:p>
    <w:p>
      <w:pPr>
        <w:pStyle w:val="Normal"/>
        <w:shd w:val="clear" w:color="auto" w:fill="ffffff"/>
        <w:ind w:left="34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РЕШЕНИЕ</w:t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</w:rPr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  <w:szCs w:val="28"/>
        </w:rPr>
        <w:t xml:space="preserve">14 декабря 2023 года</w:t>
        <w:tab/>
        <w:tab/>
      </w:r>
      <w:r>
        <w:rPr>
          <w:spacing w:val="-4"/>
          <w:sz w:val="28"/>
          <w:szCs w:val="28"/>
        </w:rPr>
        <w:t xml:space="preserve">г. Светлоград</w:t>
      </w:r>
      <w:r>
        <w:rPr>
          <w:spacing w:val="-4"/>
          <w:sz w:val="28"/>
          <w:szCs w:val="28"/>
        </w:rPr>
        <w:tab/>
        <w:tab/>
        <w:tab/>
        <w:tab/>
        <w:t xml:space="preserve">№ 124</w:t>
      </w:r>
      <w:r>
        <w:rPr>
          <w:spacing w:val="-4"/>
          <w:sz w:val="28"/>
        </w:rPr>
      </w:r>
    </w:p>
    <w:p>
      <w:pPr>
        <w:pStyle w:val="Normal"/>
        <w:shd w:val="clear" w:color="auto" w:fill="ffffff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p>
      <w:pPr>
        <w:pStyle w:val="BodyText"/>
        <w:spacing w:after="0" w:line="240" w:lineRule="exact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О бюджете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годов</w:t>
      </w:r>
      <w:r>
        <w:rPr>
          <w:caps/>
          <w:sz w:val="28"/>
          <w:szCs w:val="28"/>
        </w:rPr>
      </w:r>
    </w:p>
    <w:p>
      <w:pPr>
        <w:pStyle w:val="BodyText"/>
        <w:spacing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BodyText"/>
        <w:spacing w:after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ральным законом от 06 октября </w:t>
      </w:r>
      <w:r>
        <w:rPr>
          <w:sz w:val="28"/>
          <w:szCs w:val="28"/>
        </w:rPr>
        <w:t xml:space="preserve">2003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131-ФЗ «Об общих принципах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местного самоуправления в Российской Федерации», </w:t>
      </w:r>
      <w:r>
        <w:rPr>
          <w:sz w:val="28"/>
          <w:szCs w:val="28"/>
        </w:rPr>
        <w:t xml:space="preserve">Уставом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края, </w:t>
      </w:r>
      <w:r>
        <w:rPr>
          <w:sz w:val="28"/>
          <w:szCs w:val="28"/>
        </w:rPr>
        <w:t xml:space="preserve">Положением о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жетном процессе в Петровском </w:t>
      </w:r>
      <w:r>
        <w:rPr>
          <w:sz w:val="28"/>
          <w:szCs w:val="28"/>
        </w:rPr>
        <w:t xml:space="preserve">городском округе</w:t>
      </w:r>
      <w:r>
        <w:rPr>
          <w:sz w:val="28"/>
          <w:szCs w:val="28"/>
        </w:rPr>
        <w:t xml:space="preserve"> Ставропольского края,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вержденным решением Совета</w:t>
      </w:r>
      <w:r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от 03 ноября 2017 года № 23</w:t>
      </w:r>
      <w:r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</w:r>
    </w:p>
    <w:p>
      <w:pPr>
        <w:pStyle w:val="BodyText"/>
        <w:spacing w:after="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бюджета Петровского муниципального округа Ставропольского края (далее - местный бюджет) на 2024 год и плановый период 2025 и 2026 годов: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доходов местного бюджета на 2024 год в сумме 2 964 601,15 тыс. рублей, на 2025 год – 2 491 963,65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на 2026 год – </w:t>
      </w:r>
      <w:r>
        <w:rPr>
          <w:bCs/>
          <w:sz w:val="28"/>
          <w:szCs w:val="28"/>
        </w:rPr>
        <w:t xml:space="preserve">2 420 339,05</w:t>
      </w:r>
      <w:r>
        <w:rPr>
          <w:sz w:val="28"/>
          <w:szCs w:val="28"/>
        </w:rPr>
        <w:t xml:space="preserve"> тыс. рублей;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местного бюджета на 2024 год в сумме 3 102 508,70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на 2025 год – 2 498 994,17 тыс. рублей, в том числе условно утвержденные расходы в сумме 31 856,00 тыс. рублей и на 2026 год – 2 432 706,16 тыс. рублей, в том числе условно утвержденные расходы в сумме 64 210,00 тыс. рублей;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местного бюджета на 2024 год в сумме 137 907,55 тыс. рублей, на 2025 год – 7 030,52 тыс. рублей, на 2026 год – 12 367,11 тыс. рублей.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местного бюджета и погашения долговых обязательств Петровского муниципального округа Ставропольского края на 2024 год и плановый период 2025 и 2026 годов согласно приложению 1 к настоящему Решению.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Учесть в составе доходов местного бюджета межбюджетные трансферты, получаемые из бюджета Ставропольского края, на 2024 год в сумме 2 039 538,69 тыс. рублей, на 2025 год в сумме 1 635 625,88 тыс. рублей и на 2026 год в сумме 1 549 819,39 тыс. рублей.</w:t>
      </w:r>
    </w:p>
    <w:p>
      <w:pPr>
        <w:pStyle w:val="UserStyle_1"/>
        <w:ind w:firstLine="567"/>
        <w:jc w:val="both"/>
      </w:pPr>
      <w:r>
        <w:t xml:space="preserve">3</w:t>
      </w:r>
      <w:r>
        <w:t xml:space="preserve">. </w:t>
      </w:r>
      <w:r>
        <w:t xml:space="preserve">Утвердить </w:t>
      </w:r>
      <w:bookmarkStart w:id="0" w:name="_Hlt498500005"/>
      <w:bookmarkStart w:id="1" w:name="_Hlt498500006"/>
      <w:r>
        <w:fldChar w:fldCharType="begin"/>
      </w:r>
      <w:r>
        <w:instrText xml:space="preserve">HYPERLINK consultantplus://offline/ref=3994F8E7DFF4CDB9873F1F1086053824C562EB449761D4BF522BFD9392F99D277C9FEE770DDDED6F3BA3EDF5A7b6P </w:instrText>
      </w:r>
      <w:r>
        <w:fldChar w:fldCharType="separate"/>
      </w:r>
      <w:r>
        <w:t xml:space="preserve">распределение</w:t>
      </w:r>
      <w:r>
        <w:fldChar w:fldCharType="end"/>
      </w:r>
      <w:bookmarkEnd w:id="0"/>
      <w:bookmarkEnd w:id="1"/>
      <w:r>
        <w:t xml:space="preserve"> доходов </w:t>
      </w:r>
      <w:r>
        <w:t xml:space="preserve">мест</w:t>
      </w:r>
      <w:r>
        <w:t xml:space="preserve">ного </w:t>
      </w:r>
      <w:r>
        <w:t xml:space="preserve">бюджета </w:t>
      </w:r>
      <w:r>
        <w:t xml:space="preserve">по группам, подгруппам и статьям классификации доходов бюджетов бюджетной </w:t>
      </w:r>
      <w:r>
        <w:t xml:space="preserve">кла</w:t>
      </w:r>
      <w:r>
        <w:t xml:space="preserve">с</w:t>
      </w:r>
      <w:r>
        <w:t xml:space="preserve">сиф</w:t>
      </w:r>
      <w:r>
        <w:t xml:space="preserve">икаци</w:t>
      </w:r>
      <w:r>
        <w:t xml:space="preserve">и</w:t>
      </w:r>
      <w:r>
        <w:t xml:space="preserve"> </w:t>
      </w:r>
      <w:r>
        <w:t xml:space="preserve">Российской Федерации</w:t>
      </w:r>
      <w:r>
        <w:t xml:space="preserve"> на </w:t>
      </w:r>
      <w:bookmarkStart w:id="2" w:name="_Hlk118100314"/>
      <w:r>
        <w:t xml:space="preserve">202</w:t>
      </w:r>
      <w:r>
        <w:t xml:space="preserve">4</w:t>
      </w:r>
      <w:r>
        <w:t xml:space="preserve"> год </w:t>
      </w:r>
      <w:bookmarkStart w:id="3" w:name="_Hlk118100405"/>
      <w:r>
        <w:t xml:space="preserve">и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 согласно пр</w:t>
      </w:r>
      <w:r>
        <w:t xml:space="preserve">и</w:t>
      </w:r>
      <w:r>
        <w:t xml:space="preserve">ложению </w:t>
      </w:r>
      <w:r>
        <w:t xml:space="preserve">2</w:t>
      </w:r>
      <w:r>
        <w:t xml:space="preserve"> к настоящему Решению</w:t>
      </w:r>
      <w:bookmarkEnd w:id="2"/>
      <w:r>
        <w:t xml:space="preserve">.</w:t>
      </w:r>
    </w:p>
    <w:p>
      <w:pPr>
        <w:pStyle w:val="UserStyle_1"/>
        <w:ind w:firstLine="567"/>
        <w:jc w:val="both"/>
      </w:pPr>
      <w:bookmarkEnd w:id="3"/>
      <w:r>
        <w:t xml:space="preserve">4</w:t>
      </w:r>
      <w:r>
        <w:t xml:space="preserve">. Утвердить распределение бюджетных ассигнований по главным ра</w:t>
      </w:r>
      <w:r>
        <w:t xml:space="preserve">с</w:t>
      </w:r>
      <w:r>
        <w:t xml:space="preserve">порядителям </w:t>
      </w:r>
      <w:r>
        <w:t xml:space="preserve">средств</w:t>
      </w:r>
      <w:r>
        <w:t xml:space="preserve"> местного бюджета</w:t>
      </w:r>
      <w:r>
        <w:t xml:space="preserve">, разделам, подразделам, целевым статьям (</w:t>
      </w:r>
      <w:r>
        <w:t xml:space="preserve">муниципальным </w:t>
      </w:r>
      <w:r>
        <w:t xml:space="preserve">программам и непрограммным направлениям де</w:t>
      </w:r>
      <w:r>
        <w:t xml:space="preserve">я</w:t>
      </w:r>
      <w:r>
        <w:t xml:space="preserve">тельности) и группам видов расходов классификации расходов бюджетов в ведомственной структуре расходов </w:t>
      </w:r>
      <w:r>
        <w:t xml:space="preserve">мест</w:t>
      </w:r>
      <w:r>
        <w:t xml:space="preserve">ного </w:t>
      </w:r>
      <w:r>
        <w:t xml:space="preserve">бюджета на 20</w:t>
      </w:r>
      <w:r>
        <w:t xml:space="preserve">2</w:t>
      </w:r>
      <w:r>
        <w:t xml:space="preserve">4</w:t>
      </w:r>
      <w:r>
        <w:t xml:space="preserve"> год </w:t>
      </w:r>
      <w:r>
        <w:t xml:space="preserve">и 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</w:t>
      </w:r>
      <w:r>
        <w:t xml:space="preserve">о</w:t>
      </w:r>
      <w:r>
        <w:t xml:space="preserve">дов </w:t>
      </w:r>
      <w:bookmarkStart w:id="4" w:name="_Hlk118100494"/>
      <w:r>
        <w:t xml:space="preserve">согласно приложению </w:t>
      </w:r>
      <w:r>
        <w:t xml:space="preserve">3</w:t>
      </w:r>
      <w:r>
        <w:t xml:space="preserve"> к настоящему Решению</w:t>
      </w:r>
      <w:bookmarkEnd w:id="4"/>
      <w:r>
        <w:t xml:space="preserve">.</w:t>
      </w:r>
    </w:p>
    <w:p>
      <w:pPr>
        <w:pStyle w:val="UserStyle_1"/>
        <w:ind w:firstLine="567"/>
        <w:jc w:val="both"/>
      </w:pPr>
      <w:r>
        <w:t xml:space="preserve">5</w:t>
      </w:r>
      <w:r>
        <w:t xml:space="preserve">. Утвердить распределение бюджетных ассигнований по целевым статьям (</w:t>
      </w:r>
      <w:r>
        <w:t xml:space="preserve">муниципальным </w:t>
      </w:r>
      <w:r>
        <w:t xml:space="preserve">программам и непрограммным направлениям де</w:t>
      </w:r>
      <w:r>
        <w:t xml:space="preserve">я</w:t>
      </w:r>
      <w:r>
        <w:t xml:space="preserve">тельности)</w:t>
      </w:r>
      <w:r>
        <w:t xml:space="preserve">,</w:t>
      </w:r>
      <w:r>
        <w:t xml:space="preserve"> группам видов расходов классификации расходов бюджет</w:t>
      </w:r>
      <w:r>
        <w:t xml:space="preserve">ов</w:t>
      </w:r>
      <w:r>
        <w:t xml:space="preserve"> </w:t>
      </w:r>
      <w:bookmarkStart w:id="5" w:name="_Hlk23322753"/>
      <w:r>
        <w:t xml:space="preserve">на 20</w:t>
      </w:r>
      <w:r>
        <w:t xml:space="preserve">2</w:t>
      </w:r>
      <w:r>
        <w:t xml:space="preserve">4</w:t>
      </w:r>
      <w:r>
        <w:t xml:space="preserve"> год </w:t>
      </w:r>
      <w:r>
        <w:t xml:space="preserve">и плановый п</w:t>
      </w:r>
      <w:r>
        <w:t xml:space="preserve">е</w:t>
      </w:r>
      <w:r>
        <w:t xml:space="preserve">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</w:t>
      </w:r>
      <w:bookmarkStart w:id="6" w:name="_Hlk118100598"/>
      <w:r>
        <w:t xml:space="preserve">годов согласно приложению </w:t>
      </w:r>
      <w:r>
        <w:t xml:space="preserve">4</w:t>
      </w:r>
      <w:r>
        <w:t xml:space="preserve"> к настоящему Решению</w:t>
      </w:r>
      <w:bookmarkEnd w:id="5"/>
      <w:r>
        <w:t xml:space="preserve">.</w:t>
      </w:r>
      <w:bookmarkEnd w:id="6"/>
    </w:p>
    <w:p>
      <w:pPr>
        <w:pStyle w:val="UserStyle_1"/>
        <w:ind w:firstLine="567"/>
        <w:jc w:val="both"/>
      </w:pPr>
      <w:r>
        <w:t xml:space="preserve">6</w:t>
      </w:r>
      <w:r>
        <w:t xml:space="preserve">. Утвердить распределение бюджетных ассигнований по разделам, по</w:t>
      </w:r>
      <w:r>
        <w:t xml:space="preserve">д</w:t>
      </w:r>
      <w:r>
        <w:t xml:space="preserve">разделам классификации расходов бюджетов на 202</w:t>
      </w:r>
      <w:r>
        <w:t xml:space="preserve">4</w:t>
      </w:r>
      <w:r>
        <w:t xml:space="preserve"> год </w:t>
      </w:r>
      <w:r>
        <w:t xml:space="preserve">и плановый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 с</w:t>
      </w:r>
      <w:r>
        <w:t xml:space="preserve">о</w:t>
      </w:r>
      <w:r>
        <w:t xml:space="preserve">гласно приложению </w:t>
      </w:r>
      <w:r>
        <w:t xml:space="preserve">5</w:t>
      </w:r>
      <w:r>
        <w:t xml:space="preserve"> к настоящему Решению</w:t>
      </w:r>
      <w:r>
        <w:t xml:space="preserve">.</w:t>
      </w:r>
    </w:p>
    <w:p>
      <w:pPr>
        <w:pStyle w:val="UserStyle_1"/>
        <w:ind w:firstLine="567"/>
        <w:jc w:val="both"/>
        <w:rPr>
          <w:spacing w:val="-6"/>
        </w:rPr>
      </w:pPr>
      <w:bookmarkStart w:id="7" w:name="Par60"/>
      <w:bookmarkEnd w:id="7"/>
      <w:r>
        <w:t xml:space="preserve">7. </w:t>
      </w:r>
      <w:r>
        <w:t xml:space="preserve">Утвердить общий объем бюджетных ассигнований на исполнение публичных нормативных обязательств на 202</w:t>
      </w:r>
      <w:r>
        <w:t xml:space="preserve">4</w:t>
      </w:r>
      <w:r>
        <w:t xml:space="preserve"> год в сумме </w:t>
      </w:r>
      <w:r>
        <w:t xml:space="preserve">210 </w:t>
      </w:r>
      <w:r>
        <w:t xml:space="preserve">547</w:t>
      </w:r>
      <w:r>
        <w:t xml:space="preserve">,</w:t>
      </w:r>
      <w:r>
        <w:t xml:space="preserve">65</w:t>
      </w:r>
      <w:r>
        <w:rPr>
          <w:b/>
          <w:i/>
        </w:rPr>
        <w:t xml:space="preserve"> </w:t>
      </w:r>
      <w:r>
        <w:t xml:space="preserve">тыс. рублей, на 202</w:t>
      </w:r>
      <w:r>
        <w:t xml:space="preserve">5</w:t>
      </w:r>
      <w:r>
        <w:t xml:space="preserve"> год в сумме </w:t>
      </w:r>
      <w:r>
        <w:t xml:space="preserve">190</w:t>
      </w:r>
      <w:r>
        <w:t xml:space="preserve"> </w:t>
      </w:r>
      <w:r>
        <w:t xml:space="preserve">536</w:t>
      </w:r>
      <w:r>
        <w:t xml:space="preserve">,</w:t>
      </w:r>
      <w:r>
        <w:t xml:space="preserve">25</w:t>
      </w:r>
      <w:r>
        <w:t xml:space="preserve"> </w:t>
      </w:r>
      <w:r>
        <w:t xml:space="preserve">тыс. рублей и на 202</w:t>
      </w:r>
      <w:r>
        <w:t xml:space="preserve">6</w:t>
      </w:r>
      <w:r>
        <w:t xml:space="preserve"> год в сумме </w:t>
      </w:r>
      <w:r>
        <w:t xml:space="preserve">18</w:t>
      </w:r>
      <w:r>
        <w:t xml:space="preserve">5</w:t>
      </w:r>
      <w:r>
        <w:t xml:space="preserve"> </w:t>
      </w:r>
      <w:r>
        <w:t xml:space="preserve">206</w:t>
      </w:r>
      <w:r>
        <w:t xml:space="preserve">,</w:t>
      </w:r>
      <w:r>
        <w:t xml:space="preserve">10</w:t>
      </w:r>
      <w:r>
        <w:t xml:space="preserve"> тыс. рублей</w:t>
      </w:r>
      <w:r>
        <w:t xml:space="preserve">.</w:t>
      </w:r>
      <w:r>
        <w:rPr>
          <w:spacing w:val="-6"/>
        </w:rPr>
      </w:r>
    </w:p>
    <w:p>
      <w:pPr>
        <w:pStyle w:val="UserStyle_1"/>
        <w:ind w:firstLine="567"/>
        <w:jc w:val="both"/>
      </w:pPr>
      <w:r>
        <w:t xml:space="preserve">8. Утвердить объем бюджетных ассигнований дорожного фонда Петровского муниципального округа Ста</w:t>
      </w:r>
      <w:r>
        <w:t xml:space="preserve">в</w:t>
      </w:r>
      <w:r>
        <w:t xml:space="preserve">ропольского края на 2024 год в сумме 423 453,20</w:t>
      </w:r>
      <w:r>
        <w:rPr>
          <w:b/>
          <w:i/>
        </w:rPr>
        <w:t xml:space="preserve"> </w:t>
      </w:r>
      <w:r>
        <w:t xml:space="preserve">тыс. рублей, на 2025 год в сумме 293 684,38 тыс. рублей и на 2026 год в сумме 249 095,51 тыс. рублей.</w:t>
      </w:r>
    </w:p>
    <w:p>
      <w:pPr>
        <w:pStyle w:val="UserStyle_1"/>
        <w:ind w:firstLine="567"/>
        <w:jc w:val="both"/>
      </w:pPr>
      <w:r>
        <w:t xml:space="preserve">9</w:t>
      </w:r>
      <w:r>
        <w:t xml:space="preserve">. Сформировать в составе расходов местного бюджета резервный фонд администрации Петровского </w:t>
      </w:r>
      <w:r>
        <w:t xml:space="preserve">муниципального</w:t>
      </w:r>
      <w:r>
        <w:t xml:space="preserve"> округа Ставропольского края на 202</w:t>
      </w:r>
      <w:r>
        <w:t xml:space="preserve">4</w:t>
      </w:r>
      <w:r>
        <w:t xml:space="preserve"> год в сумме </w:t>
      </w:r>
      <w:r>
        <w:t xml:space="preserve">500,00</w:t>
      </w:r>
      <w:r>
        <w:t xml:space="preserve"> тыс. рублей, на 202</w:t>
      </w:r>
      <w:r>
        <w:t xml:space="preserve">5</w:t>
      </w:r>
      <w:r>
        <w:t xml:space="preserve"> год – 500,00 тыс. рублей и на 202</w:t>
      </w:r>
      <w:r>
        <w:t xml:space="preserve">6</w:t>
      </w:r>
      <w:r>
        <w:t xml:space="preserve"> год – 500,00 тыс. рублей.</w:t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0</w:t>
      </w:r>
      <w:r>
        <w:t xml:space="preserve">. </w:t>
      </w:r>
      <w:r>
        <w:t xml:space="preserve">Установить, что</w:t>
      </w:r>
      <w:r>
        <w:t xml:space="preserve"> приоритетны</w:t>
      </w:r>
      <w:r>
        <w:t xml:space="preserve">ми</w:t>
      </w:r>
      <w:r>
        <w:t xml:space="preserve"> расход</w:t>
      </w:r>
      <w:r>
        <w:t xml:space="preserve">ами</w:t>
      </w:r>
      <w:r>
        <w:t xml:space="preserve"> </w:t>
      </w:r>
      <w:r>
        <w:t xml:space="preserve">местн</w:t>
      </w:r>
      <w:r>
        <w:t xml:space="preserve">ого </w:t>
      </w:r>
      <w:r>
        <w:t xml:space="preserve">бюджета </w:t>
      </w:r>
      <w:r>
        <w:t xml:space="preserve">явл</w:t>
      </w:r>
      <w:r>
        <w:t xml:space="preserve">я</w:t>
      </w:r>
      <w:r>
        <w:t xml:space="preserve">ются </w:t>
      </w:r>
      <w:r>
        <w:t xml:space="preserve">расходы, направленные на:</w:t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) </w:t>
      </w:r>
      <w:r>
        <w:t xml:space="preserve">выплату персоналу в целях обеспечения выполнения функций орг</w:t>
      </w:r>
      <w:r>
        <w:t xml:space="preserve">а</w:t>
      </w:r>
      <w:r>
        <w:t xml:space="preserve">нами местного самоуправления Петровского </w:t>
      </w:r>
      <w:r>
        <w:t xml:space="preserve">муниципального</w:t>
      </w:r>
      <w:r>
        <w:t xml:space="preserve"> округа Ставропол</w:t>
      </w:r>
      <w:r>
        <w:t xml:space="preserve">ь</w:t>
      </w:r>
      <w:r>
        <w:t xml:space="preserve">ского края, органами администрации Петровского </w:t>
      </w:r>
      <w:r>
        <w:t xml:space="preserve">муниципального</w:t>
      </w:r>
      <w:r>
        <w:t xml:space="preserve"> округа Ста</w:t>
      </w:r>
      <w:r>
        <w:t xml:space="preserve">в</w:t>
      </w:r>
      <w:r>
        <w:t xml:space="preserve">ропольского края, муниципальными казенными учреждениями Петровского </w:t>
      </w:r>
      <w:r>
        <w:t xml:space="preserve">муниципального</w:t>
      </w:r>
      <w:r>
        <w:t xml:space="preserve"> округа Ставропольского края, а также оплату услуг по перечи</w:t>
      </w:r>
      <w:r>
        <w:t xml:space="preserve">с</w:t>
      </w:r>
      <w:r>
        <w:t xml:space="preserve">лению выплат персоналу;</w:t>
      </w:r>
    </w:p>
    <w:p>
      <w:pPr>
        <w:pStyle w:val="UserStyle_1"/>
        <w:ind w:firstLine="567"/>
        <w:jc w:val="both"/>
      </w:pPr>
      <w:r>
        <w:t xml:space="preserve">2</w:t>
      </w:r>
      <w:r>
        <w:t xml:space="preserve">) </w:t>
      </w:r>
      <w:r>
        <w:t xml:space="preserve">уплату налогов, сборов и иных платежей;</w:t>
      </w:r>
    </w:p>
    <w:p>
      <w:pPr>
        <w:pStyle w:val="UserStyle_1"/>
        <w:ind w:firstLine="567"/>
        <w:jc w:val="both"/>
      </w:pPr>
      <w:r>
        <w:t xml:space="preserve">3</w:t>
      </w:r>
      <w:r>
        <w:t xml:space="preserve">) социальное обеспечение и иные выплаты населению, а также оплату услуг по перечислению, почтовому переводу (доставке, вручению) социал</w:t>
      </w:r>
      <w:r>
        <w:t xml:space="preserve">ь</w:t>
      </w:r>
      <w:r>
        <w:t xml:space="preserve">ных выплат населению;</w:t>
      </w:r>
    </w:p>
    <w:p>
      <w:pPr>
        <w:pStyle w:val="UserStyle_1"/>
        <w:ind w:firstLine="567"/>
        <w:jc w:val="both"/>
      </w:pPr>
      <w:r>
        <w:t xml:space="preserve">4)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 на территории Петровского </w:t>
      </w:r>
      <w:r>
        <w:t xml:space="preserve">муниципального</w:t>
      </w:r>
      <w:r>
        <w:t xml:space="preserve"> округа Ставропольского края;</w:t>
      </w:r>
    </w:p>
    <w:p>
      <w:pPr>
        <w:pStyle w:val="UserStyle_1"/>
        <w:ind w:firstLine="567"/>
        <w:jc w:val="both"/>
      </w:pPr>
      <w:r>
        <w:t xml:space="preserve">5</w:t>
      </w:r>
      <w:r>
        <w:t xml:space="preserve">) оплату коммунальных услуг и услуг связи;</w:t>
      </w:r>
    </w:p>
    <w:p>
      <w:pPr>
        <w:pStyle w:val="UserStyle_1"/>
        <w:ind w:firstLine="567"/>
        <w:jc w:val="both"/>
      </w:pPr>
      <w:r>
        <w:t xml:space="preserve">6</w:t>
      </w:r>
      <w:r>
        <w:t xml:space="preserve">) приобретение</w:t>
      </w:r>
      <w:r>
        <w:t xml:space="preserve"> (изготовление)</w:t>
      </w:r>
      <w:r>
        <w:t xml:space="preserve"> продуктов питания</w:t>
      </w:r>
      <w:r>
        <w:t xml:space="preserve"> и оплату услуг по организации питания</w:t>
      </w:r>
      <w:r>
        <w:t xml:space="preserve"> для муниципальных учреждений Петровского </w:t>
      </w:r>
      <w:r>
        <w:t xml:space="preserve">муниципального</w:t>
      </w:r>
      <w:r>
        <w:t xml:space="preserve"> округа Ставропольского края в сфере образования;</w:t>
      </w:r>
    </w:p>
    <w:p>
      <w:pPr>
        <w:pStyle w:val="UserStyle_1"/>
        <w:ind w:firstLine="567"/>
        <w:jc w:val="both"/>
      </w:pPr>
      <w:r>
        <w:t xml:space="preserve">7</w:t>
      </w:r>
      <w:r>
        <w:t xml:space="preserve">) оплату договоров гражданско-правового характера, заключенных с физическими лицами</w:t>
      </w:r>
      <w:r>
        <w:t xml:space="preserve">, а также оплату услуг по перечислению денежных средств физическим лицам</w:t>
      </w:r>
      <w:r>
        <w:t xml:space="preserve">;</w:t>
      </w:r>
    </w:p>
    <w:p>
      <w:pPr>
        <w:pStyle w:val="UserStyle_1"/>
        <w:ind w:firstLine="567"/>
        <w:jc w:val="both"/>
      </w:pPr>
      <w:r>
        <w:t xml:space="preserve">8</w:t>
      </w:r>
      <w:r>
        <w:t xml:space="preserve">) предоставление субсидий муниципальным бюджетным учреждениям Петровского </w:t>
      </w:r>
      <w:r>
        <w:t xml:space="preserve">муниципального</w:t>
      </w:r>
      <w:r>
        <w:t xml:space="preserve"> округа Ставропольского края на финансовое обе</w:t>
      </w:r>
      <w:r>
        <w:t xml:space="preserve">с</w:t>
      </w:r>
      <w:r>
        <w:t xml:space="preserve">печение выполнения муниципального задания на оказание муниципальных услуг (выполнение работ) в части расходов, указанных в подпунктах 1-</w:t>
      </w:r>
      <w:r>
        <w:t xml:space="preserve">7</w:t>
      </w:r>
      <w:r>
        <w:t xml:space="preserve"> н</w:t>
      </w:r>
      <w:r>
        <w:t xml:space="preserve">а</w:t>
      </w:r>
      <w:r>
        <w:t xml:space="preserve">стоящего пункта;</w:t>
      </w:r>
    </w:p>
    <w:p>
      <w:pPr>
        <w:pStyle w:val="UserStyle_1"/>
        <w:ind w:firstLine="567"/>
        <w:jc w:val="both"/>
      </w:pPr>
      <w:r>
        <w:t xml:space="preserve">9</w:t>
      </w:r>
      <w:r>
        <w:t xml:space="preserve">) финансовое обеспечение мероприятий, источником финансового обеспечения которых являются средства резервного фонда </w:t>
      </w:r>
      <w:bookmarkStart w:id="8" w:name="_Hlk117260836"/>
      <w:r>
        <w:t xml:space="preserve">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bookmarkEnd w:id="8"/>
      <w:r>
        <w:t xml:space="preserve">;</w:t>
      </w:r>
    </w:p>
    <w:p>
      <w:pPr>
        <w:pStyle w:val="UserStyle_1"/>
        <w:ind w:firstLine="567"/>
        <w:jc w:val="both"/>
      </w:pPr>
      <w:r>
        <w:t xml:space="preserve">10) </w:t>
      </w:r>
      <w:r>
        <w:t xml:space="preserve">финансовое обеспечение реализации мероприятий муниципальных программ, направленных на достижение целей, показателей и результатов, соответствующих региональных и федеральных проектов (программ) в рамках реализации национальных проектов;</w:t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1</w:t>
      </w:r>
      <w:r>
        <w:t xml:space="preserve">) исполнение иных расходных обязательств Петровского </w:t>
      </w:r>
      <w:r>
        <w:t xml:space="preserve">муниципального</w:t>
      </w:r>
      <w:r>
        <w:t xml:space="preserve"> округа Ставропольского края, софинансирование которых осуществляется из бюджета Ставропольского края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Главным распорядителям средств </w:t>
      </w:r>
      <w:r>
        <w:t xml:space="preserve">мест</w:t>
      </w:r>
      <w:r>
        <w:t xml:space="preserve">ного </w:t>
      </w:r>
      <w:r>
        <w:t xml:space="preserve">бюджета обеспечить направление средств </w:t>
      </w:r>
      <w:r>
        <w:t xml:space="preserve">мест</w:t>
      </w:r>
      <w:r>
        <w:t xml:space="preserve">ного </w:t>
      </w:r>
      <w:r>
        <w:t xml:space="preserve">бюджета на </w:t>
      </w:r>
      <w:r>
        <w:t xml:space="preserve">финансовое обеспечение</w:t>
      </w:r>
      <w:r>
        <w:t xml:space="preserve"> </w:t>
      </w:r>
      <w:r>
        <w:t xml:space="preserve">указа</w:t>
      </w:r>
      <w:r>
        <w:t xml:space="preserve">н</w:t>
      </w:r>
      <w:r>
        <w:t xml:space="preserve">ных </w:t>
      </w:r>
      <w:r>
        <w:t xml:space="preserve">расходов</w:t>
      </w:r>
      <w:r>
        <w:t xml:space="preserve"> </w:t>
      </w:r>
      <w:r>
        <w:t xml:space="preserve">в 20</w:t>
      </w:r>
      <w:r>
        <w:t xml:space="preserve">2</w:t>
      </w:r>
      <w:r>
        <w:t xml:space="preserve">4</w:t>
      </w:r>
      <w:r>
        <w:t xml:space="preserve"> году </w:t>
      </w:r>
      <w:r>
        <w:t xml:space="preserve">и плановом периоде 20</w:t>
      </w:r>
      <w:r>
        <w:t xml:space="preserve">2</w:t>
      </w:r>
      <w:r>
        <w:t xml:space="preserve">5</w:t>
      </w:r>
      <w:r>
        <w:t xml:space="preserve"> и 20</w:t>
      </w:r>
      <w:r>
        <w:t xml:space="preserve">2</w:t>
      </w:r>
      <w:r>
        <w:t xml:space="preserve">6</w:t>
      </w:r>
      <w:r>
        <w:t xml:space="preserve"> годов </w:t>
      </w:r>
      <w:r>
        <w:t xml:space="preserve">в пер</w:t>
      </w:r>
      <w:r>
        <w:t xml:space="preserve">воочередном порядке в пределах доведенных лимитов бюдже</w:t>
      </w:r>
      <w:r>
        <w:t xml:space="preserve">т</w:t>
      </w:r>
      <w:r>
        <w:t xml:space="preserve">ных обязательств</w:t>
      </w:r>
      <w:r>
        <w:t xml:space="preserve"> и бюджетных ассигнований на исполнение публичных нормативных обяз</w:t>
      </w:r>
      <w:r>
        <w:t xml:space="preserve">а</w:t>
      </w:r>
      <w:r>
        <w:t xml:space="preserve">тельств</w:t>
      </w:r>
      <w:r>
        <w:t xml:space="preserve">.</w:t>
      </w:r>
    </w:p>
    <w:p>
      <w:pPr>
        <w:pStyle w:val="UserStyle_1"/>
        <w:ind w:firstLine="567"/>
        <w:jc w:val="both"/>
      </w:pPr>
      <w:bookmarkStart w:id="9" w:name="Par81"/>
      <w:bookmarkEnd w:id="9"/>
      <w:bookmarkStart w:id="10" w:name="Par85"/>
      <w:bookmarkEnd w:id="10"/>
      <w:bookmarkStart w:id="11" w:name="Par126"/>
      <w:bookmarkEnd w:id="11"/>
      <w:r>
        <w:t xml:space="preserve">11. 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настоящим Решением, </w:t>
      </w:r>
      <w:bookmarkStart w:id="12" w:name="_Hlk149655120"/>
      <w:r>
        <w:t xml:space="preserve">предоставляются в порядке, устанавливаемом администрацией </w:t>
      </w:r>
      <w:bookmarkStart w:id="13" w:name="_Hlk149740597"/>
      <w:r>
        <w:t xml:space="preserve">Петровского </w:t>
      </w:r>
      <w:r>
        <w:t xml:space="preserve">муниципального</w:t>
      </w:r>
      <w:r>
        <w:t xml:space="preserve"> </w:t>
      </w:r>
      <w:bookmarkEnd w:id="12"/>
      <w:r>
        <w:t xml:space="preserve">округа Ставропольского края</w:t>
      </w:r>
      <w:bookmarkEnd w:id="13"/>
      <w:r>
        <w:t xml:space="preserve"> (за исключением  субсидий, источником финансового обеспечения которых являются средства федерального бюджета, имеющие целевое назначение, порядок предоставления которых определяется нормативным правовым актом Правительства Российской Федерации, указанным в подпункте 1 пункта 2 статьи 78 Бюджетного кодекса Российской Федерации, и принимаемыми в соответствии с ним решениями органов местного самоуправления Петровского муниципального округа Ставропольского края, осуществляющих полномочия главного распорядителя средств местного бюджета)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12. </w:t>
      </w:r>
      <w:r>
        <w:t xml:space="preserve">Администрации </w:t>
      </w:r>
      <w:r>
        <w:t xml:space="preserve">Петровского муниципального </w:t>
      </w:r>
      <w:r>
        <w:t xml:space="preserve">округа Ставропольского края направить в установленном порядке средства местного бюджета на предоставление:</w:t>
      </w:r>
    </w:p>
    <w:p>
      <w:pPr>
        <w:pStyle w:val="UserStyle_1"/>
        <w:ind w:firstLine="567"/>
        <w:jc w:val="both"/>
      </w:pPr>
      <w:r>
        <w:t xml:space="preserve">1) субсидии на возмещение недополученных доходов по оказанию банных услуг по помывке населения в 2024 году в сумме </w:t>
      </w:r>
      <w:r>
        <w:t xml:space="preserve">2 </w:t>
      </w:r>
      <w:r>
        <w:t xml:space="preserve">853</w:t>
      </w:r>
      <w:r>
        <w:t xml:space="preserve">,38</w:t>
      </w:r>
      <w:r>
        <w:t xml:space="preserve"> тыс. рублей, в 2025 году в сумме </w:t>
      </w:r>
      <w:r>
        <w:t xml:space="preserve">2 </w:t>
      </w:r>
      <w:r>
        <w:t xml:space="preserve">853</w:t>
      </w:r>
      <w:r>
        <w:t xml:space="preserve">,38</w:t>
      </w:r>
      <w:r>
        <w:t xml:space="preserve"> тыс. рублей и в 2026 году в сумме </w:t>
      </w:r>
      <w:r>
        <w:t xml:space="preserve">2 </w:t>
      </w:r>
      <w:r>
        <w:t xml:space="preserve">853</w:t>
      </w:r>
      <w:r>
        <w:t xml:space="preserve">,38 </w:t>
      </w:r>
      <w:r>
        <w:t xml:space="preserve">тыс. рублей;</w:t>
      </w:r>
    </w:p>
    <w:p>
      <w:pPr>
        <w:pStyle w:val="UserStyle_1"/>
        <w:ind w:firstLine="567"/>
        <w:jc w:val="both"/>
      </w:pPr>
      <w:r>
        <w:t xml:space="preserve">2</w:t>
      </w:r>
      <w:r>
        <w:t xml:space="preserve">) </w:t>
      </w:r>
      <w:r>
        <w:t xml:space="preserve">грантов субъектам малого и среднего предпринимательства </w:t>
      </w:r>
      <w:bookmarkStart w:id="14" w:name="_Hlk149831558"/>
      <w:r>
        <w:t xml:space="preserve">в 202</w:t>
      </w:r>
      <w:r>
        <w:t xml:space="preserve">4</w:t>
      </w:r>
      <w:r>
        <w:t xml:space="preserve"> году в сумме </w:t>
      </w:r>
      <w:r>
        <w:t xml:space="preserve">250</w:t>
      </w:r>
      <w:r>
        <w:t xml:space="preserve">,00 тыс. рублей, в 202</w:t>
      </w:r>
      <w:r>
        <w:t xml:space="preserve">5</w:t>
      </w:r>
      <w:r>
        <w:t xml:space="preserve"> году в сумме </w:t>
      </w:r>
      <w:r>
        <w:t xml:space="preserve">25</w:t>
      </w:r>
      <w:r>
        <w:t xml:space="preserve">0,00 тыс. рублей и в 202</w:t>
      </w:r>
      <w:r>
        <w:t xml:space="preserve">6</w:t>
      </w:r>
      <w:r>
        <w:t xml:space="preserve"> году в сумме </w:t>
      </w:r>
      <w:r>
        <w:t xml:space="preserve">25</w:t>
      </w:r>
      <w:r>
        <w:t xml:space="preserve">0,00 тыс. рублей;</w:t>
      </w:r>
      <w:bookmarkEnd w:id="14"/>
    </w:p>
    <w:p>
      <w:pPr>
        <w:pStyle w:val="UserStyle_1"/>
        <w:ind w:firstLine="567"/>
        <w:jc w:val="both"/>
      </w:pPr>
      <w:r>
        <w:t xml:space="preserve">3</w:t>
      </w:r>
      <w:r>
        <w:t xml:space="preserve">) субсидии социально ориентированны</w:t>
      </w:r>
      <w:r>
        <w:t xml:space="preserve">м</w:t>
      </w:r>
      <w:r>
        <w:t xml:space="preserve"> некоммерчески</w:t>
      </w:r>
      <w:r>
        <w:t xml:space="preserve">м</w:t>
      </w:r>
      <w:r>
        <w:t xml:space="preserve"> организаци</w:t>
      </w:r>
      <w:r>
        <w:t xml:space="preserve">ям</w:t>
      </w:r>
      <w:r>
        <w:t xml:space="preserve"> </w:t>
      </w:r>
      <w:bookmarkStart w:id="15" w:name="_Hlk149741931"/>
      <w:r>
        <w:t xml:space="preserve">в 202</w:t>
      </w:r>
      <w:r>
        <w:t xml:space="preserve">4</w:t>
      </w:r>
      <w:r>
        <w:t xml:space="preserve"> году в сумме 100,00 тыс. рублей, в 202</w:t>
      </w:r>
      <w:r>
        <w:t xml:space="preserve">5</w:t>
      </w:r>
      <w:r>
        <w:t xml:space="preserve"> году в сумме 100,00 тыс. рублей и в 202</w:t>
      </w:r>
      <w:r>
        <w:t xml:space="preserve">6</w:t>
      </w:r>
      <w:r>
        <w:t xml:space="preserve"> году в сумме 100,00 тыс. рублей</w:t>
      </w:r>
      <w:bookmarkEnd w:id="15"/>
      <w:r>
        <w:t xml:space="preserve">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 субсидии казачьим обществам и иным объединениям казаков на реализацию деятельности по военно-патриотическому, духовно-нравственному, гражданскому воспитанию личности, развитию и сохранению казачьей культуры, традиций и обычаев казаков в 2024 году в сумме 100,00 тыс. рублей, в 2025 году в сумме 100,00  тыс. рублей и в 2026 году в сумме 100,00 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3</w:t>
      </w:r>
      <w:r>
        <w:t xml:space="preserve">. Установить в соответствии с </w:t>
      </w:r>
      <w:r>
        <w:fldChar w:fldCharType="begin"/>
      </w:r>
      <w:r>
        <w:instrText xml:space="preserve">HYPERLINK consultantplus://offline/ref=3994F8E7DFF4CDB9873F011D9069662EC069B5419267DBE10B7EFBC4CDA99B723CDFE8214B9CAEb8P </w:instrText>
      </w:r>
      <w:r>
        <w:fldChar w:fldCharType="separate"/>
      </w:r>
      <w:r>
        <w:t xml:space="preserve">пунктом 3 статьи 217</w:t>
      </w:r>
      <w:r>
        <w:fldChar w:fldCharType="end"/>
      </w:r>
      <w:r>
        <w:t xml:space="preserve"> Бюджетного к</w:t>
      </w:r>
      <w:r>
        <w:t xml:space="preserve">о</w:t>
      </w:r>
      <w:r>
        <w:t xml:space="preserve">декса Российской Федерации, что:</w:t>
      </w:r>
    </w:p>
    <w:p>
      <w:pPr>
        <w:pStyle w:val="UserStyle_1"/>
        <w:ind w:firstLine="567"/>
        <w:jc w:val="both"/>
      </w:pPr>
      <w:r>
        <w:t xml:space="preserve">1)</w:t>
      </w:r>
      <w:r>
        <w:t xml:space="preserve"> основанием для внесения в 202</w:t>
      </w:r>
      <w:r>
        <w:t xml:space="preserve">4</w:t>
      </w:r>
      <w:r>
        <w:t xml:space="preserve"> году изменений в показатели сво</w:t>
      </w:r>
      <w:r>
        <w:t xml:space="preserve">д</w:t>
      </w:r>
      <w:r>
        <w:t xml:space="preserve">ной бюджетной росписи местного бюджета является распределение зарезе</w:t>
      </w:r>
      <w:r>
        <w:t xml:space="preserve">р</w:t>
      </w:r>
      <w:r>
        <w:t xml:space="preserve">вированных бюджетных ассигнований в объеме </w:t>
      </w:r>
      <w:bookmarkStart w:id="16" w:name="_Hlk54862707"/>
      <w:r>
        <w:t xml:space="preserve">2</w:t>
      </w:r>
      <w:r>
        <w:t xml:space="preserve"> </w:t>
      </w:r>
      <w:r>
        <w:t xml:space="preserve">511</w:t>
      </w:r>
      <w:r>
        <w:t xml:space="preserve">,</w:t>
      </w:r>
      <w:r>
        <w:t xml:space="preserve">89</w:t>
      </w:r>
      <w:r>
        <w:t xml:space="preserve"> </w:t>
      </w:r>
      <w:r>
        <w:t xml:space="preserve">тыс. рублей</w:t>
      </w:r>
      <w:bookmarkEnd w:id="16"/>
      <w:r>
        <w:t xml:space="preserve">, пред</w:t>
      </w:r>
      <w:r>
        <w:t xml:space="preserve">у</w:t>
      </w:r>
      <w:r>
        <w:t xml:space="preserve">смотренных по разделу «Общегосударственные вопросы» подразделу «Др</w:t>
      </w:r>
      <w:r>
        <w:t xml:space="preserve">у</w:t>
      </w:r>
      <w:r>
        <w:t xml:space="preserve">гие общегосударственные вопросы» зарезервированных на исполнение действующих расходных обязательств органов местного самоуправления Пе</w:t>
      </w:r>
      <w:r>
        <w:t xml:space="preserve">т</w:t>
      </w:r>
      <w:r>
        <w:t xml:space="preserve">ровского </w:t>
      </w:r>
      <w:r>
        <w:t xml:space="preserve">муниципального</w:t>
      </w:r>
      <w:r>
        <w:t xml:space="preserve"> округа Ставропольского края по оплате за потребленные муниципальными учреждениями теплоэнергетические ресурсы;</w:t>
      </w:r>
    </w:p>
    <w:p>
      <w:pPr>
        <w:pStyle w:val="UserStyle_1"/>
        <w:ind w:firstLine="567"/>
        <w:jc w:val="both"/>
      </w:pPr>
      <w:r>
        <w:t xml:space="preserve">2) основанием для внесения в 20</w:t>
      </w:r>
      <w:r>
        <w:t xml:space="preserve">2</w:t>
      </w:r>
      <w:r>
        <w:t xml:space="preserve">4</w:t>
      </w:r>
      <w:r>
        <w:t xml:space="preserve"> году и плановом периоде 20</w:t>
      </w:r>
      <w:r>
        <w:t xml:space="preserve">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 изменений в показатели сводной бюджетной росписи местного бюджета явл</w:t>
      </w:r>
      <w:r>
        <w:t xml:space="preserve">я</w:t>
      </w:r>
      <w:r>
        <w:t xml:space="preserve">ется распределение зарезервированных: </w:t>
      </w:r>
    </w:p>
    <w:p>
      <w:pPr>
        <w:pStyle w:val="UserStyle_1"/>
        <w:ind w:firstLine="567"/>
        <w:jc w:val="both"/>
      </w:pPr>
      <w:r>
        <w:t xml:space="preserve">бюджетных ассигнований в 2024 году в объеме 2 039,35 тыс. рублей, в 2025 году в объеме 500,00 тыс. рублей, в 2026 году в объеме 500,00 тыс. рублей,  пред</w:t>
      </w:r>
      <w:r>
        <w:t xml:space="preserve">у</w:t>
      </w:r>
      <w:r>
        <w:t xml:space="preserve">смотренных по разделу «Общегосударственные вопросы» подразделу «Др</w:t>
      </w:r>
      <w:r>
        <w:t xml:space="preserve">у</w:t>
      </w:r>
      <w:r>
        <w:t xml:space="preserve">гие общегосударственные вопросы» классификации расходов бюджетов на финансовое обеспечение в соответствии с законодательством Ставропольского края дополнительных гарантий и выплату единовр</w:t>
      </w:r>
      <w:r>
        <w:t xml:space="preserve">е</w:t>
      </w:r>
      <w:r>
        <w:t xml:space="preserve">менного поощрения в связи с выходом на страховую пенсию лиц, замещающих (замещавших) должности муниципальной службы;</w:t>
      </w:r>
    </w:p>
    <w:p>
      <w:pPr>
        <w:pStyle w:val="UserStyle_1"/>
        <w:ind w:firstLine="567"/>
        <w:jc w:val="both"/>
      </w:pPr>
      <w:r>
        <w:t xml:space="preserve">бюджетных ассигнований в объеме </w:t>
      </w:r>
      <w:r>
        <w:t xml:space="preserve">500,00 </w:t>
      </w:r>
      <w:r>
        <w:t xml:space="preserve">тыс. рублей</w:t>
      </w:r>
      <w:r>
        <w:t xml:space="preserve"> ежегодно</w:t>
      </w:r>
      <w:r>
        <w:t xml:space="preserve">, пред</w:t>
      </w:r>
      <w:r>
        <w:t xml:space="preserve">у</w:t>
      </w:r>
      <w:r>
        <w:t xml:space="preserve">смотренных по разделу «Общегосударственные вопросы» подразделу «Резервные фонды» классификации расходов бюджетов на финансовое обесп</w:t>
      </w:r>
      <w:r>
        <w:t xml:space="preserve">е</w:t>
      </w:r>
      <w:r>
        <w:t xml:space="preserve">чение проведения аварийно-восстановительных работ по ликвидации п</w:t>
      </w:r>
      <w:r>
        <w:t xml:space="preserve">о</w:t>
      </w:r>
      <w:r>
        <w:t xml:space="preserve">следствий стихийных бедствий и других чрезвычайных ситуаций, выплат пострада</w:t>
      </w:r>
      <w:r>
        <w:t xml:space="preserve">в</w:t>
      </w:r>
      <w:r>
        <w:t xml:space="preserve">шим от стихийных бедствий и других чрезвычайных ситуаций и иных непредвиденных расходов, за счет средств резервного фонда 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1</w:t>
      </w:r>
      <w:r>
        <w:t xml:space="preserve">4</w:t>
      </w:r>
      <w:r>
        <w:t xml:space="preserve">. </w:t>
      </w:r>
      <w:bookmarkStart w:id="17" w:name="_Hlk23327478"/>
      <w:r>
        <w:t xml:space="preserve">Установить, что остатки субсидий, предоставленных </w:t>
      </w:r>
      <w:r>
        <w:t xml:space="preserve">в 20</w:t>
      </w:r>
      <w:r>
        <w:t xml:space="preserve">2</w:t>
      </w:r>
      <w:r>
        <w:t xml:space="preserve">3</w:t>
      </w:r>
      <w:r>
        <w:t xml:space="preserve"> году </w:t>
      </w:r>
      <w:r>
        <w:t xml:space="preserve">м</w:t>
      </w:r>
      <w:r>
        <w:t xml:space="preserve">у</w:t>
      </w:r>
      <w:r>
        <w:t xml:space="preserve">ниципальным </w:t>
      </w:r>
      <w:r>
        <w:t xml:space="preserve">бюджетным учреждениям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Ставропольского края </w:t>
      </w:r>
      <w:r>
        <w:t xml:space="preserve">на финансовое обеспечение выполнения ими </w:t>
      </w:r>
      <w:r>
        <w:t xml:space="preserve">муниц</w:t>
      </w:r>
      <w:r>
        <w:t xml:space="preserve">и</w:t>
      </w:r>
      <w:r>
        <w:t xml:space="preserve">пального </w:t>
      </w:r>
      <w:r>
        <w:t xml:space="preserve">задания, </w:t>
      </w:r>
      <w:r>
        <w:t xml:space="preserve">образовавшиеся в связи с недостижением </w:t>
      </w:r>
      <w:r>
        <w:t xml:space="preserve">муниципальн</w:t>
      </w:r>
      <w:r>
        <w:t xml:space="preserve">ы</w:t>
      </w:r>
      <w:r>
        <w:t xml:space="preserve">ми </w:t>
      </w:r>
      <w:r>
        <w:t xml:space="preserve">бюджетными учреждениями</w:t>
      </w:r>
      <w:r>
        <w:t xml:space="preserve"> 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Ставропол</w:t>
      </w:r>
      <w:r>
        <w:t xml:space="preserve">ь</w:t>
      </w:r>
      <w:r>
        <w:t xml:space="preserve">ского края установленных </w:t>
      </w:r>
      <w:r>
        <w:t xml:space="preserve">муниципальным </w:t>
      </w:r>
      <w:r>
        <w:t xml:space="preserve">заданием показателей, характер</w:t>
      </w:r>
      <w:r>
        <w:t xml:space="preserve">и</w:t>
      </w:r>
      <w:r>
        <w:t xml:space="preserve">зующих объем </w:t>
      </w:r>
      <w:r>
        <w:t xml:space="preserve">муниципальных </w:t>
      </w:r>
      <w:r>
        <w:t xml:space="preserve">услуг (работ), </w:t>
      </w:r>
      <w:r>
        <w:t xml:space="preserve">подлежат во</w:t>
      </w:r>
      <w:r>
        <w:t xml:space="preserve">з</w:t>
      </w:r>
      <w:r>
        <w:t xml:space="preserve">врату в </w:t>
      </w:r>
      <w:r>
        <w:t xml:space="preserve">мест</w:t>
      </w:r>
      <w:r>
        <w:t xml:space="preserve">ный </w:t>
      </w:r>
      <w:r>
        <w:t xml:space="preserve">бюджет в объемах, соответствующих недостигнутым показателям </w:t>
      </w:r>
      <w:r>
        <w:t xml:space="preserve">муниц</w:t>
      </w:r>
      <w:r>
        <w:t xml:space="preserve">и</w:t>
      </w:r>
      <w:r>
        <w:t xml:space="preserve">пального </w:t>
      </w:r>
      <w:r>
        <w:t xml:space="preserve">зада</w:t>
      </w:r>
      <w:r>
        <w:t xml:space="preserve">ния</w:t>
      </w:r>
      <w:r>
        <w:t xml:space="preserve"> (с учетом допустимых (возможных) отклонений)</w:t>
      </w:r>
      <w:r>
        <w:t xml:space="preserve">, до</w:t>
      </w:r>
      <w:r>
        <w:t xml:space="preserve"> </w:t>
      </w:r>
      <w:r>
        <w:t xml:space="preserve">01</w:t>
      </w:r>
      <w:r>
        <w:t xml:space="preserve"> </w:t>
      </w:r>
      <w:r>
        <w:t xml:space="preserve">марта </w:t>
      </w:r>
      <w:r>
        <w:t xml:space="preserve">20</w:t>
      </w:r>
      <w:r>
        <w:t xml:space="preserve">2</w:t>
      </w:r>
      <w:r>
        <w:t xml:space="preserve">4</w:t>
      </w:r>
      <w:r>
        <w:t xml:space="preserve"> года</w:t>
      </w:r>
      <w:r>
        <w:t xml:space="preserve">.</w:t>
      </w:r>
      <w:bookmarkEnd w:id="17"/>
    </w:p>
    <w:p>
      <w:pPr>
        <w:pStyle w:val="UserStyle_1"/>
        <w:ind w:firstLine="567"/>
        <w:jc w:val="both"/>
      </w:pPr>
      <w:r>
        <w:t xml:space="preserve">Установить, что остатки субсидий, </w:t>
      </w:r>
      <w:r>
        <w:t xml:space="preserve">не использованные по состоянию на 1 января 202</w:t>
      </w:r>
      <w:r>
        <w:t xml:space="preserve">4</w:t>
      </w:r>
      <w:r>
        <w:t xml:space="preserve"> года</w:t>
      </w:r>
      <w:r>
        <w:t xml:space="preserve"> </w:t>
      </w:r>
      <w:bookmarkStart w:id="18" w:name="_Hlk149658339"/>
      <w:r>
        <w:t xml:space="preserve">муниципальным</w:t>
      </w:r>
      <w:r>
        <w:t xml:space="preserve">и</w:t>
      </w:r>
      <w:r>
        <w:t xml:space="preserve"> бюджетным</w:t>
      </w:r>
      <w:r>
        <w:t xml:space="preserve">и</w:t>
      </w:r>
      <w:r>
        <w:t xml:space="preserve"> учреждениям</w:t>
      </w:r>
      <w:r>
        <w:t xml:space="preserve">и</w:t>
      </w:r>
      <w:r>
        <w:t xml:space="preserve"> Петро</w:t>
      </w:r>
      <w:r>
        <w:t xml:space="preserve">в</w:t>
      </w:r>
      <w:r>
        <w:t xml:space="preserve">ского </w:t>
      </w:r>
      <w:r>
        <w:t xml:space="preserve">муниципального</w:t>
      </w:r>
      <w:r>
        <w:t xml:space="preserve"> округа Ставропольского края </w:t>
      </w:r>
      <w:bookmarkEnd w:id="18"/>
      <w:r>
        <w:t xml:space="preserve">на </w:t>
      </w:r>
      <w:r>
        <w:t xml:space="preserve">цели, не связанные с ок</w:t>
      </w:r>
      <w:r>
        <w:t xml:space="preserve">а</w:t>
      </w:r>
      <w:r>
        <w:t xml:space="preserve">занием ими в соответствии с муниципальным заданием муниципальных услуг (выполнением работ),</w:t>
      </w:r>
      <w:r>
        <w:t xml:space="preserve"> а также </w:t>
      </w:r>
      <w:r>
        <w:t xml:space="preserve">муниципальными бюджетными учреждениями </w:t>
      </w:r>
      <w:bookmarkStart w:id="19" w:name="_Hlk149658447"/>
      <w:r>
        <w:t xml:space="preserve">Петровского муниципального округа Ставропольского края </w:t>
      </w:r>
      <w:bookmarkEnd w:id="19"/>
      <w:r>
        <w:t xml:space="preserve">на осуществление капитальных вложений в объекты капитального строительства муниципальной собственности Петровского муниципального округа Ставропольского края,</w:t>
      </w:r>
      <w:r>
        <w:t xml:space="preserve"> подлежат перечислению</w:t>
      </w:r>
      <w:r>
        <w:t xml:space="preserve"> муниципальными бю</w:t>
      </w:r>
      <w:r>
        <w:t xml:space="preserve">д</w:t>
      </w:r>
      <w:r>
        <w:t xml:space="preserve">жетными учреждениями Петровского </w:t>
      </w:r>
      <w:r>
        <w:t xml:space="preserve">муниципального</w:t>
      </w:r>
      <w:r>
        <w:t xml:space="preserve"> округа Ставропольского края </w:t>
      </w:r>
      <w:r>
        <w:t xml:space="preserve">в доход местного бюджета в срок до 15 марта 202</w:t>
      </w:r>
      <w:r>
        <w:t xml:space="preserve">4</w:t>
      </w:r>
      <w:r>
        <w:t xml:space="preserve"> года в случае отсу</w:t>
      </w:r>
      <w:r>
        <w:t xml:space="preserve">т</w:t>
      </w:r>
      <w:r>
        <w:t xml:space="preserve">ствия </w:t>
      </w:r>
      <w:r>
        <w:t xml:space="preserve">подтвержденной потребности в направлении их на те же цели в соо</w:t>
      </w:r>
      <w:r>
        <w:t xml:space="preserve">т</w:t>
      </w:r>
      <w:r>
        <w:t xml:space="preserve">ветствии с решением </w:t>
      </w:r>
      <w:bookmarkStart w:id="20" w:name="_Hlk86824794"/>
      <w:r>
        <w:t xml:space="preserve">администрации Петровского </w:t>
      </w:r>
      <w:r>
        <w:t xml:space="preserve">муниципального</w:t>
      </w:r>
      <w:r>
        <w:t xml:space="preserve"> округа Ста</w:t>
      </w:r>
      <w:r>
        <w:t xml:space="preserve">в</w:t>
      </w:r>
      <w:r>
        <w:t xml:space="preserve">ропольского края</w:t>
      </w:r>
      <w:r>
        <w:t xml:space="preserve">, принятого в</w:t>
      </w:r>
      <w:r>
        <w:t xml:space="preserve"> установленном е</w:t>
      </w:r>
      <w:r>
        <w:t xml:space="preserve">ю</w:t>
      </w:r>
      <w:r>
        <w:t xml:space="preserve"> порядке</w:t>
      </w:r>
      <w:bookmarkEnd w:id="20"/>
      <w:r>
        <w:t xml:space="preserve">.</w:t>
      </w:r>
    </w:p>
    <w:p>
      <w:pPr>
        <w:pStyle w:val="Normal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Установить, что остатки субсидий, предоставленных на финансовое обеспечение затрат юридических лиц, индивидуальных предпринимателей, а также физических лиц – производителей товаров, работ, услуг в соответствии с пунктом 1 статьи 78 Бюджетного кодекса Российской Федерации, </w:t>
        <w:br w:type="textWrapping" w:clear="all"/>
        <w:t xml:space="preserve">на финансовое обеспечение затрат иных некоммерческих организаций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"consultantplus://offline/ref=7E0DF8E7F6135A7C27CF1E08A136C3589FBD2B6CE61AAB2ED51379F4664B3934DCFC102620DFE7DDB0AA6ED527558A73696C30783965vFA8P"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пунктами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4 статьи </w:t>
      </w:r>
      <w:bookmarkStart w:id="21" w:name="_Hlk149663130"/>
      <w:r>
        <w:rPr>
          <w:sz w:val="28"/>
          <w:szCs w:val="28"/>
        </w:rPr>
        <w:t xml:space="preserve">78</w:t>
      </w:r>
      <w:r>
        <w:rPr>
          <w:sz w:val="28"/>
          <w:szCs w:val="28"/>
          <w:vertAlign w:val="superscript"/>
        </w:rPr>
        <w:t xml:space="preserve">1</w:t>
      </w:r>
      <w:bookmarkEnd w:id="21"/>
      <w:r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дерации, не использованные по состоянию на 1 января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года, подлежат перечислению данными лицами в доход местного бюджета в срок </w:t>
        <w:br w:type="textWrapping" w:clear="all"/>
        <w:t xml:space="preserve">до 15 марта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 при отсутствии подтвержденной потребности в направлении таких остатков на те же цели в соответствии с решением </w:t>
      </w:r>
      <w:bookmarkStart w:id="22" w:name="_Hlk86825935"/>
      <w:r>
        <w:rPr>
          <w:sz w:val="28"/>
          <w:szCs w:val="28"/>
        </w:rPr>
        <w:t xml:space="preserve">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 </w:t>
      </w:r>
      <w:bookmarkStart w:id="23" w:name="_Hlk149663030"/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bookmarkEnd w:id="22"/>
      <w:r>
        <w:rPr>
          <w:sz w:val="28"/>
          <w:szCs w:val="28"/>
        </w:rPr>
        <w:t xml:space="preserve">Ставропольского края, принятого в установленном е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порядке.</w:t>
      </w:r>
      <w:bookmarkEnd w:id="23"/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Установить, что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казначейско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 xml:space="preserve">ю подлежат</w:t>
      </w:r>
      <w:r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местного бюджета, получа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 основании муниципальных контрактов, договоров (соглашений), контра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тов (договоров):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авансовые платежи по муниципальным контрактам о поставке тов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ров, выполнении работ, оказании услуг, заключаемым на сумму от 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000,00 тыс. рублей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авансовые платежи по контрактам (договорам) о поставке товаров, выполнении работ, оказании услуг, заключаемым муниципальными бюджетными учреждениями Петровского муниципального округа Ставропольского края на сумму от 50 000,00 тыс. рублей, источником финансового обеспечения которых являются субсидии, полученные в соответствии с абзацем вторым пункта 1 статьи 78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 и пунктом 1 статьи 78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Бюджетного кодекса Российской Федерации.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Казначейское сопровождение средств местного бюджета, получаемых на основании муниципальных контрактов и контрактов (договоров), указанных в подпунктах 1 и 2 настоящего пункта,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>
      <w:pPr>
        <w:pStyle w:val="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доходы </w:t>
      </w:r>
      <w:r>
        <w:rPr>
          <w:sz w:val="28"/>
          <w:szCs w:val="28"/>
        </w:rPr>
        <w:t xml:space="preserve">местного</w:t>
      </w:r>
      <w:r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от платы за негативное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воздействие на окружающую среду, от штрафов, установленных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consultantplus://offline/ref=5B55D124FC0088C03BEDB8A3AD457545157A84CD9A65A82090D6135F297196BE84510BA18C39665B02E50E495559hCL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Кодексом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об административных правонарушениях 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стративные правонарушения в области охраны окружающей среды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допользования, от административных штрафов, установленных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consultantplus://offline/ref=5B55D124FC0088C03BEDA6AEBB292B4F1673DDC49A6AA271C8811508762190EBD61155F8DF792D5700FF124857801EC9CA51h5L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административных правонарушениях в Ставр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польском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за административные правонарушения в области охраны о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ружающей 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природопользования, от платежей по искам о возмещ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вреда, причиненного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окружающей среде, в том числе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вследствие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требований, а также от платежей, упл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чиваемых при добровольном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возмещении вреда, причиненного 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среде,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водным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объектам, вследствие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требований, направляются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реализацию мероприятий, указанных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consultantplus://offline/ref=5B55D124FC0088C03BEDB8A3AD457545157981C19C63A82090D6135F297196BE965153AD8E3C7B5156AA481C5A9C18D7C917B177B0F35EhBL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 статьи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consultantplus://offline/ref=5B55D124FC0088C03BEDB8A3AD457545157981C19C63A82090D6135F297196BE965153AD8E3D7F5D0AF0581813CB11CBCC09AE75AEF3E9F05Eh3L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 статьи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consultantplus://offline/ref=5B55D124FC0088C03BEDB8A3AD457545157981C19C63A82090D6135F297196BE965153AD8E3D7F5206F0581813CB11CBCC09AE75AEF3E9F05Eh3L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пункте 1 статьи 78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кона </w:t>
      </w:r>
      <w:r>
        <w:rPr>
          <w:sz w:val="28"/>
          <w:szCs w:val="28"/>
        </w:rPr>
        <w:t xml:space="preserve">№ 7-ФЗ от 10.01.2002 года (с изменениями)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охране окружающей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pStyle w:val="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18. </w:t>
      </w:r>
      <w:r>
        <w:rPr>
          <w:sz w:val="28"/>
          <w:szCs w:val="28"/>
        </w:rPr>
        <w:t xml:space="preserve">Установить, что доходы местного бюджета от восстановительной стоимости поврежденных или удаляемых зеленых насаждений направляются на создание и содержание объектов компенсационного озеленения взамен уничтоженных или поврежденных в соответствии с пунктом 5 Порядка осуществления компенсационного озеленения на территории Петровского городского округа Ставропольского края, утвержденного постановлением администрации Петровского городского округа Ставропольского края от 11 октября 2023 года № 1642 «</w:t>
      </w:r>
      <w:r>
        <w:rPr>
          <w:sz w:val="28"/>
          <w:szCs w:val="28"/>
        </w:rPr>
        <w:t xml:space="preserve">Об утверждении Порядка осуществления компенсационного озеленения на территории Петровского городского округа Ставропольского края и Правил определения восстановительной стоимости при вырубке деревьев и кустарников (сносе зеленых насаждений) на территории Петровского городского округа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Установить, что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размер </w:t>
      </w:r>
      <w:r>
        <w:rPr>
          <w:sz w:val="28"/>
          <w:szCs w:val="28"/>
        </w:rPr>
        <w:t xml:space="preserve">индексации </w:t>
      </w:r>
      <w:r>
        <w:rPr>
          <w:sz w:val="28"/>
          <w:szCs w:val="28"/>
        </w:rPr>
        <w:t xml:space="preserve">ежемесячной </w:t>
      </w:r>
      <w:r>
        <w:rPr>
          <w:sz w:val="28"/>
          <w:szCs w:val="28"/>
        </w:rPr>
        <w:t xml:space="preserve">дене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ной выплаты отдельным категориям граждан, работающи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и проживающи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в сельской местности, установленным </w:t>
      </w:r>
      <w:r>
        <w:rPr>
          <w:sz w:val="28"/>
          <w:szCs w:val="28"/>
        </w:rPr>
        <w:t xml:space="preserve">решением Совета депутатов Петро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22.07.2021 № 84 «О мерах социальной поддержки отдельных категорий граждан, работающих и прож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вающих в сельской местности Петровского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Ставропол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ского края»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1,0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UserStyle_1"/>
        <w:ind w:firstLine="567"/>
        <w:jc w:val="both"/>
      </w:pPr>
      <w:r>
        <w:t xml:space="preserve">20</w:t>
      </w:r>
      <w:r>
        <w:t xml:space="preserve">. Установить верхний предел </w:t>
      </w:r>
      <w:r>
        <w:t xml:space="preserve">муниципального </w:t>
      </w:r>
      <w:r>
        <w:t xml:space="preserve">внутреннего </w:t>
      </w:r>
      <w:r>
        <w:t xml:space="preserve">долга </w:t>
      </w:r>
      <w:r>
        <w:t xml:space="preserve">Петровского </w:t>
      </w:r>
      <w:r>
        <w:t xml:space="preserve">муниципального</w:t>
      </w:r>
      <w:r>
        <w:t xml:space="preserve"> округа</w:t>
      </w:r>
      <w:r>
        <w:t xml:space="preserve"> </w:t>
      </w:r>
      <w:r>
        <w:t xml:space="preserve">Ставропол</w:t>
      </w:r>
      <w:r>
        <w:t xml:space="preserve">ь</w:t>
      </w:r>
      <w:r>
        <w:t xml:space="preserve">ского края </w:t>
      </w:r>
      <w:r>
        <w:t xml:space="preserve">на:</w:t>
      </w:r>
    </w:p>
    <w:p>
      <w:pPr>
        <w:pStyle w:val="UserStyle_1"/>
        <w:ind w:firstLine="567"/>
        <w:jc w:val="both"/>
      </w:pPr>
      <w:r>
        <w:t xml:space="preserve">1) 1 января 20</w:t>
      </w:r>
      <w:r>
        <w:t xml:space="preserve">2</w:t>
      </w:r>
      <w:r>
        <w:t xml:space="preserve">5</w:t>
      </w:r>
      <w:r>
        <w:t xml:space="preserve"> года по долговым обязательствам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</w:t>
      </w:r>
      <w:r>
        <w:t xml:space="preserve">в сумме</w:t>
      </w:r>
      <w:r>
        <w:t xml:space="preserve"> </w:t>
      </w:r>
      <w:r>
        <w:t xml:space="preserve">0,00</w:t>
      </w:r>
      <w:r>
        <w:t xml:space="preserve"> </w:t>
      </w:r>
      <w:r>
        <w:t xml:space="preserve">тыс. рублей, в том числе по </w:t>
      </w:r>
      <w:r>
        <w:t xml:space="preserve">муниципальным </w:t>
      </w:r>
      <w:r>
        <w:t xml:space="preserve">гарант</w:t>
      </w:r>
      <w:r>
        <w:t xml:space="preserve">и</w:t>
      </w:r>
      <w:r>
        <w:t xml:space="preserve">ям в сумме </w:t>
      </w:r>
      <w:r>
        <w:t xml:space="preserve">0,00 тыс. рублей</w:t>
      </w:r>
      <w:r>
        <w:t xml:space="preserve">;</w:t>
      </w:r>
    </w:p>
    <w:p>
      <w:pPr>
        <w:pStyle w:val="UserStyle_1"/>
        <w:ind w:firstLine="567"/>
        <w:jc w:val="both"/>
      </w:pPr>
      <w:r>
        <w:t xml:space="preserve">2) 1 января 20</w:t>
      </w:r>
      <w:r>
        <w:t xml:space="preserve">2</w:t>
      </w:r>
      <w:r>
        <w:t xml:space="preserve">6</w:t>
      </w:r>
      <w:r>
        <w:t xml:space="preserve"> года по долговым обязательствам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</w:t>
      </w:r>
      <w:r>
        <w:t xml:space="preserve">в сумме</w:t>
      </w:r>
      <w:r>
        <w:t xml:space="preserve"> </w:t>
      </w:r>
      <w:r>
        <w:t xml:space="preserve">0,00</w:t>
      </w:r>
      <w:r>
        <w:t xml:space="preserve"> </w:t>
      </w:r>
      <w:r>
        <w:t xml:space="preserve">тыс. рублей, в том числе по </w:t>
      </w:r>
      <w:r>
        <w:t xml:space="preserve">муниципальным </w:t>
      </w:r>
      <w:r>
        <w:t xml:space="preserve">гаран</w:t>
      </w:r>
      <w:r>
        <w:t xml:space="preserve">т</w:t>
      </w:r>
      <w:r>
        <w:t xml:space="preserve">и</w:t>
      </w:r>
      <w:r>
        <w:t xml:space="preserve">ям </w:t>
      </w:r>
      <w:r>
        <w:t xml:space="preserve">в сумме </w:t>
      </w:r>
      <w:r>
        <w:t xml:space="preserve">0,00 тыс. рублей</w:t>
      </w:r>
      <w:r>
        <w:t xml:space="preserve">;</w:t>
      </w:r>
    </w:p>
    <w:p>
      <w:pPr>
        <w:pStyle w:val="UserStyle_1"/>
        <w:ind w:firstLine="567"/>
        <w:jc w:val="both"/>
      </w:pPr>
      <w:r>
        <w:t xml:space="preserve">3) 1 января 202</w:t>
      </w:r>
      <w:r>
        <w:t xml:space="preserve">7</w:t>
      </w:r>
      <w:r>
        <w:t xml:space="preserve"> года по долговым обязательствам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</w:t>
      </w:r>
      <w:r>
        <w:t xml:space="preserve">в сумме</w:t>
      </w:r>
      <w:r>
        <w:t xml:space="preserve"> </w:t>
      </w:r>
      <w:r>
        <w:t xml:space="preserve">0,00</w:t>
      </w:r>
      <w:r>
        <w:t xml:space="preserve"> </w:t>
      </w:r>
      <w:r>
        <w:t xml:space="preserve">тыс. рублей, в том числе по </w:t>
      </w:r>
      <w:r>
        <w:t xml:space="preserve">муниципальным </w:t>
      </w:r>
      <w:r>
        <w:t xml:space="preserve">гарант</w:t>
      </w:r>
      <w:r>
        <w:t xml:space="preserve">и</w:t>
      </w:r>
      <w:r>
        <w:t xml:space="preserve">ям </w:t>
      </w:r>
      <w:r>
        <w:t xml:space="preserve">в сумме </w:t>
      </w:r>
      <w:r>
        <w:t xml:space="preserve">0,00 </w:t>
      </w:r>
      <w:r>
        <w:t xml:space="preserve">тыс. рублей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21</w:t>
      </w:r>
      <w:r>
        <w:t xml:space="preserve">. Утвердить Программу муниципальных </w:t>
      </w:r>
      <w:r>
        <w:t xml:space="preserve">внутренних </w:t>
      </w:r>
      <w:r>
        <w:t xml:space="preserve">заимствований 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</w:t>
      </w:r>
      <w:r>
        <w:t xml:space="preserve">на 202</w:t>
      </w:r>
      <w:r>
        <w:t xml:space="preserve">4</w:t>
      </w:r>
      <w:r>
        <w:t xml:space="preserve"> год и план</w:t>
      </w:r>
      <w:r>
        <w:t xml:space="preserve">о</w:t>
      </w:r>
      <w:r>
        <w:t xml:space="preserve">вый период 202</w:t>
      </w:r>
      <w:r>
        <w:t xml:space="preserve">5</w:t>
      </w:r>
      <w:r>
        <w:t xml:space="preserve"> и 202</w:t>
      </w:r>
      <w:r>
        <w:t xml:space="preserve">6</w:t>
      </w:r>
      <w:r>
        <w:t xml:space="preserve"> годов</w:t>
      </w:r>
      <w:r>
        <w:t xml:space="preserve"> </w:t>
      </w:r>
      <w:r>
        <w:t xml:space="preserve">согласно приложению </w:t>
      </w:r>
      <w:r>
        <w:t xml:space="preserve">6</w:t>
      </w:r>
      <w:r>
        <w:t xml:space="preserve"> к настоящему Реш</w:t>
      </w:r>
      <w:r>
        <w:t xml:space="preserve">е</w:t>
      </w:r>
      <w:r>
        <w:t xml:space="preserve">нию</w:t>
      </w:r>
      <w:r>
        <w:t xml:space="preserve">.</w:t>
      </w:r>
    </w:p>
    <w:p>
      <w:pPr>
        <w:pStyle w:val="UserStyle_1"/>
        <w:ind w:firstLine="567"/>
        <w:jc w:val="both"/>
      </w:pPr>
      <w:r>
        <w:t xml:space="preserve">2</w:t>
      </w:r>
      <w:r>
        <w:t xml:space="preserve">2</w:t>
      </w:r>
      <w:r>
        <w:t xml:space="preserve">. У</w:t>
      </w:r>
      <w:r>
        <w:t xml:space="preserve">твердить </w:t>
      </w:r>
      <w:r>
        <w:t xml:space="preserve">объем расходов на обслуживание </w:t>
      </w:r>
      <w:r>
        <w:t xml:space="preserve">муниципального </w:t>
      </w:r>
      <w:r>
        <w:t xml:space="preserve">до</w:t>
      </w:r>
      <w:r>
        <w:t xml:space="preserve">л</w:t>
      </w:r>
      <w:r>
        <w:t xml:space="preserve">га </w:t>
      </w:r>
      <w:r>
        <w:t xml:space="preserve">Петровского </w:t>
      </w:r>
      <w:r>
        <w:t xml:space="preserve">муниципального</w:t>
      </w:r>
      <w:r>
        <w:t xml:space="preserve"> округа </w:t>
      </w:r>
      <w:r>
        <w:t xml:space="preserve">Ставропольского края в 20</w:t>
      </w:r>
      <w:r>
        <w:t xml:space="preserve">2</w:t>
      </w:r>
      <w:r>
        <w:t xml:space="preserve">4</w:t>
      </w:r>
      <w:r>
        <w:t xml:space="preserve"> </w:t>
      </w:r>
      <w:r>
        <w:t xml:space="preserve">году в сумме </w:t>
      </w:r>
      <w:r>
        <w:t xml:space="preserve">0,00 </w:t>
      </w:r>
      <w:r>
        <w:t xml:space="preserve">тыс. рублей, в 20</w:t>
      </w:r>
      <w:r>
        <w:t xml:space="preserve">2</w:t>
      </w:r>
      <w:r>
        <w:t xml:space="preserve">5</w:t>
      </w:r>
      <w:r>
        <w:t xml:space="preserve"> году </w:t>
      </w:r>
      <w:r>
        <w:t xml:space="preserve">в сумме</w:t>
      </w:r>
      <w:r>
        <w:t xml:space="preserve"> </w:t>
      </w:r>
      <w:r>
        <w:t xml:space="preserve">0,00 </w:t>
      </w:r>
      <w:r>
        <w:t xml:space="preserve">тыс. рублей и в 20</w:t>
      </w:r>
      <w:r>
        <w:t xml:space="preserve">2</w:t>
      </w:r>
      <w:r>
        <w:t xml:space="preserve">6</w:t>
      </w:r>
      <w:r>
        <w:t xml:space="preserve"> году </w:t>
      </w:r>
      <w:r>
        <w:t xml:space="preserve">в сумме</w:t>
      </w:r>
      <w:r>
        <w:t xml:space="preserve"> </w:t>
      </w:r>
      <w:r>
        <w:t xml:space="preserve">0,00 </w:t>
      </w:r>
      <w:r>
        <w:t xml:space="preserve">тыс. рублей.</w:t>
      </w:r>
    </w:p>
    <w:p>
      <w:pPr>
        <w:pStyle w:val="UserStyle_1"/>
        <w:ind w:firstLine="567"/>
        <w:jc w:val="both"/>
      </w:pPr>
      <w:r>
        <w:t xml:space="preserve">23. Утвердить Программу муниципальных гарантий Петровского муниципального</w:t>
      </w:r>
      <w:r>
        <w:t xml:space="preserve"> округа Ставропольского края в валюте Российской Федерации, предоставляемых в 2024 году и плановом периоде 2025 и 2026 годов согласно приложению </w:t>
      </w:r>
      <w:r>
        <w:t xml:space="preserve">7</w:t>
      </w:r>
      <w:r>
        <w:t xml:space="preserve"> к настоящему Решению.</w:t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Установить, что 20 процентов прибыли муниципальных унитарных предприятий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Ставропольского края, оста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шейся после уплаты ими налогов и сборов и иных обязательных платежей, подлежат отчислению указанными предприятиями в </w:t>
      </w:r>
      <w:r>
        <w:rPr>
          <w:sz w:val="28"/>
          <w:szCs w:val="28"/>
        </w:rPr>
        <w:t xml:space="preserve">местны</w:t>
      </w:r>
      <w:r>
        <w:rPr>
          <w:sz w:val="28"/>
          <w:szCs w:val="28"/>
        </w:rPr>
        <w:t xml:space="preserve">й бюджет по итогам отчетного года в десятидневный срок после сдачи налоговой декларации по налогу на прибыль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ций.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перечисление в местный бюджет 20 процентов от чистой прибыли </w:t>
      </w:r>
      <w:r>
        <w:rPr>
          <w:sz w:val="28"/>
          <w:szCs w:val="28"/>
        </w:rPr>
        <w:t xml:space="preserve">определенной в соответствии с отчетом о финансовых результатах по форме, утвержденной Приказом Министерства финансов Российской Федерации от 02.07.2010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66н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формах бухгалтерской отчетности организаций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 итогам финансового года </w:t>
      </w:r>
      <w:r>
        <w:rPr>
          <w:sz w:val="28"/>
          <w:szCs w:val="28"/>
        </w:rPr>
        <w:t xml:space="preserve">хозяйственных обществ, все акции (доли в уставном капитале) которых находятся в собственности муниципального образования Петровского муниципального округа Ставропольского края и не закреплены за муниципальными унитарными предприятиями или муниципальными учреждениями, 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до 01 апреля</w:t>
      </w:r>
      <w:r>
        <w:rPr>
          <w:sz w:val="28"/>
          <w:szCs w:val="28"/>
        </w:rPr>
        <w:t xml:space="preserve"> 2024 года.</w:t>
      </w:r>
      <w:r>
        <w:rPr>
          <w:sz w:val="28"/>
          <w:szCs w:val="28"/>
        </w:rPr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Установить, что финансовое обеспечение бюджетных обязательств, принятых в установленном порядке главными распорядителями средств местного бюджета и муниципальными казенными учреждениями Петровск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и не исполненных по состоянию на 1 января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года, осуществляется в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 в первоочередном порядке в пределах бюджетных ассигнований, утвержденных в установленном поря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ке соответствующему главному распорядителю бюджетных средств.</w:t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Нормативные правовые акты, влекущие дополнительные </w:t>
      </w:r>
      <w:r>
        <w:rPr>
          <w:spacing w:val="-4"/>
          <w:sz w:val="28"/>
          <w:szCs w:val="28"/>
        </w:rPr>
        <w:t xml:space="preserve">расходы за счет средств </w:t>
      </w:r>
      <w:r>
        <w:rPr>
          <w:spacing w:val="-4"/>
          <w:sz w:val="28"/>
          <w:szCs w:val="28"/>
        </w:rPr>
        <w:t xml:space="preserve">мест</w:t>
      </w:r>
      <w:r>
        <w:rPr>
          <w:spacing w:val="-4"/>
          <w:sz w:val="28"/>
          <w:szCs w:val="28"/>
        </w:rPr>
        <w:t xml:space="preserve">ного бюджета на 20</w:t>
      </w:r>
      <w:r>
        <w:rPr>
          <w:spacing w:val="-4"/>
          <w:sz w:val="28"/>
          <w:szCs w:val="28"/>
        </w:rPr>
        <w:t xml:space="preserve">2</w:t>
      </w:r>
      <w:r>
        <w:rPr>
          <w:spacing w:val="-4"/>
          <w:sz w:val="28"/>
          <w:szCs w:val="28"/>
        </w:rPr>
        <w:t xml:space="preserve">4</w:t>
      </w:r>
      <w:r>
        <w:rPr>
          <w:spacing w:val="-4"/>
          <w:sz w:val="28"/>
          <w:szCs w:val="28"/>
        </w:rPr>
        <w:t xml:space="preserve"> год, а также сокращающие е</w:t>
      </w:r>
      <w:r>
        <w:rPr>
          <w:sz w:val="28"/>
          <w:szCs w:val="28"/>
        </w:rPr>
        <w:t xml:space="preserve">го дохо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ную базу, реализуются и применяются только при наличии соответствующих источников дополнительных поступлений в </w:t>
      </w:r>
      <w:r>
        <w:rPr>
          <w:sz w:val="28"/>
          <w:szCs w:val="28"/>
        </w:rPr>
        <w:t xml:space="preserve">мест</w:t>
      </w:r>
      <w:r>
        <w:rPr>
          <w:sz w:val="28"/>
          <w:szCs w:val="28"/>
        </w:rPr>
        <w:t xml:space="preserve">ный бюджет и (или) при сокращении расх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 по конкретным статьям </w:t>
      </w:r>
      <w:r>
        <w:rPr>
          <w:sz w:val="28"/>
          <w:szCs w:val="28"/>
        </w:rPr>
        <w:t xml:space="preserve">мест</w:t>
      </w:r>
      <w:r>
        <w:rPr>
          <w:sz w:val="28"/>
          <w:szCs w:val="28"/>
        </w:rPr>
        <w:t xml:space="preserve">ного бюджета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год, а также после внесения соответствующих изменений в настоящее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ние.</w:t>
      </w:r>
    </w:p>
    <w:p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Настоящее Р</w:t>
      </w:r>
      <w:r>
        <w:rPr>
          <w:sz w:val="28"/>
          <w:szCs w:val="28"/>
        </w:rPr>
        <w:t xml:space="preserve">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вступает в силу с 01 января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Опубликовать настоящее Р</w:t>
      </w:r>
      <w:r>
        <w:rPr>
          <w:sz w:val="28"/>
          <w:szCs w:val="28"/>
        </w:rPr>
        <w:t xml:space="preserve">ешение в газете «Вестник Петровского </w:t>
      </w:r>
      <w:r>
        <w:rPr>
          <w:spacing w:val="-5"/>
          <w:sz w:val="28"/>
          <w:szCs w:val="28"/>
        </w:rPr>
        <w:t xml:space="preserve">муниципального</w:t>
      </w:r>
      <w:r>
        <w:rPr>
          <w:spacing w:val="-5"/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</w:p>
    <w:p>
      <w:pPr>
        <w:pStyle w:val="Normal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В.О. Лагунов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ab/>
        <w:t xml:space="preserve">Н.В. Конкина</w:t>
      </w:r>
    </w:p>
    <w:sectPr>
      <w:type w:val="nextPage"/>
      <w:pgSz w:w="11905" w:h="16838"/>
      <w:pgMar w:top="1418" w:right="567" w:bottom="1134" w:left="1985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widowControl w:val="off"/>
      <w:ind w:firstLine="1843"/>
      <w:outlineLvl w:val="0"/>
    </w:pPr>
    <w:rPr>
      <w:b/>
      <w:bCs/>
      <w:i/>
      <w:iCs/>
      <w:sz w:val="28"/>
      <w:szCs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sz w:val="28"/>
      <w:szCs w:val="10"/>
    </w:rPr>
  </w:style>
  <w:style w:type="paragraph" w:styleId="Heading4">
    <w:name w:val="Заголовок 4"/>
    <w:basedOn w:val="Normal"/>
    <w:next w:val="Normal"/>
    <w:link w:val="Normal"/>
    <w:qFormat/>
    <w:pPr>
      <w:keepNext/>
      <w:jc w:val="center"/>
      <w:outlineLvl w:val="3"/>
    </w:pPr>
    <w:rPr>
      <w:color w:val="ff9900"/>
      <w:sz w:val="28"/>
      <w:szCs w:val="20"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, Знак Знак5 Знак Знак Знак Знак Знак Знак Знак Знак Знак Знак Знак Знак Знак Знак Знак Знак Знак Знак Знак Знак Знак Знак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1">
    <w:name w:val="ConsPlusNormal"/>
    <w:next w:val="UserStyle_1"/>
    <w:link w:val="Normal"/>
    <w:rPr>
      <w:sz w:val="28"/>
      <w:szCs w:val="28"/>
      <w:lang w:val="ru-RU" w:eastAsia="ru-RU" w:bidi="ar-SA"/>
    </w:rPr>
  </w:style>
  <w:style w:type="paragraph" w:styleId="UserStyle_2">
    <w:name w:val="ConsPlusNonformat"/>
    <w:next w:val="UserStyle_2"/>
    <w:link w:val="Normal"/>
    <w:uiPriority w:val="99"/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semiHidden/>
    <w:rPr>
      <w:rFonts w:ascii="Tahoma" w:hAnsi="Tahoma" w:cs="Tahoma"/>
      <w:sz w:val="16"/>
      <w:szCs w:val="16"/>
    </w:rPr>
  </w:style>
  <w:style w:type="character" w:styleId="UserStyle_4">
    <w:name w:val="pt-a0"/>
    <w:next w:val="UserStyle_4"/>
    <w:link w:val="Normal"/>
    <w:rPr>
      <w:rFonts w:cs="Times New Roman"/>
    </w:rPr>
  </w:style>
  <w:style w:type="paragraph" w:styleId="UserStyle_5">
    <w:name w:val="pt-a-000016"/>
    <w:basedOn w:val="Normal"/>
    <w:next w:val="UserStyle_5"/>
    <w:link w:val="Normal"/>
    <w:pPr>
      <w:spacing w:before="100" w:beforeAutospacing="1" w:after="100" w:afterAutospacing="1"/>
    </w:pPr>
  </w:style>
  <w:style w:type="paragraph" w:styleId="Footer">
    <w:name w:val="Нижний колонтитул"/>
    <w:basedOn w:val="Normal"/>
    <w:next w:val="Footer"/>
    <w:link w:val="UserStyle_6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 Знак Знак2"/>
    <w:next w:val="UserStyle_7"/>
    <w:link w:val="Header"/>
    <w:rPr>
      <w:sz w:val="24"/>
      <w:szCs w:val="24"/>
    </w:rPr>
  </w:style>
  <w:style w:type="table" w:styleId="TableGrid">
    <w:name w:val="Сетка таблицы"/>
    <w:basedOn w:val="TableNormal"/>
    <w:next w:val="TableGrid"/>
    <w:link w:val="Normal"/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UserStyle_8">
    <w:name w:val=" Знак"/>
    <w:basedOn w:val="Normal"/>
    <w:next w:val="UserStyle_8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after="120"/>
      <w:ind w:left="283"/>
    </w:p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serStyle_9">
    <w:name w:val="Font Style21"/>
    <w:next w:val="UserStyle_9"/>
    <w:link w:val="Normal"/>
    <w:rPr>
      <w:rFonts w:ascii="Times New Roman" w:hAnsi="Times New Roman" w:cs="Times New Roman"/>
      <w:sz w:val="30"/>
      <w:szCs w:val="30"/>
    </w:rPr>
  </w:style>
  <w:style w:type="paragraph" w:styleId="UserStyle_10">
    <w:name w:val="ConsPlusCell"/>
    <w:next w:val="UserStyle_10"/>
    <w:link w:val="Normal"/>
    <w:uiPriority w:val="99"/>
    <w:pPr>
      <w:widowControl w:val="off"/>
    </w:pPr>
    <w:rPr>
      <w:sz w:val="24"/>
      <w:szCs w:val="24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11">
    <w:name w:val="hl41"/>
    <w:next w:val="UserStyle_11"/>
    <w:link w:val="Normal"/>
    <w:rPr>
      <w:b/>
      <w:bCs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UserStyle_12">
    <w:name w:val="Header Char"/>
    <w:next w:val="UserStyle_12"/>
    <w:link w:val="Normal"/>
    <w:locked/>
    <w:rPr>
      <w:sz w:val="24"/>
      <w:szCs w:val="24"/>
      <w:lang w:val="ru-RU" w:eastAsia="ru-RU" w:bidi="ar-SA"/>
    </w:rPr>
  </w:style>
  <w:style w:type="paragraph" w:styleId="UserStyle_13">
    <w:name w:val="msonormal"/>
    <w:basedOn w:val="Normal"/>
    <w:next w:val="UserStyle_13"/>
    <w:link w:val="Normal"/>
    <w:pPr>
      <w:spacing w:before="100" w:beforeAutospacing="1" w:after="100" w:afterAutospacing="1"/>
    </w:pPr>
  </w:style>
  <w:style w:type="paragraph" w:styleId="UserStyle_14">
    <w:name w:val="xl64"/>
    <w:basedOn w:val="Normal"/>
    <w:next w:val="UserStyle_14"/>
    <w:link w:val="Normal"/>
    <w:pPr>
      <w:spacing w:before="100" w:beforeAutospacing="1" w:after="100" w:afterAutospacing="1"/>
    </w:pPr>
  </w:style>
  <w:style w:type="paragraph" w:styleId="UserStyle_15">
    <w:name w:val="xl65"/>
    <w:basedOn w:val="Normal"/>
    <w:next w:val="UserStyle_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16">
    <w:name w:val="xl66"/>
    <w:basedOn w:val="Normal"/>
    <w:next w:val="UserStyle_16"/>
    <w:link w:val="Normal"/>
    <w:pPr>
      <w:spacing w:before="100" w:beforeAutospacing="1" w:after="100" w:afterAutospacing="1"/>
      <w:jc w:val="center"/>
    </w:pPr>
  </w:style>
  <w:style w:type="paragraph" w:styleId="UserStyle_17">
    <w:name w:val="xl67"/>
    <w:basedOn w:val="Normal"/>
    <w:next w:val="UserStyle_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18">
    <w:name w:val="xl68"/>
    <w:basedOn w:val="Normal"/>
    <w:next w:val="UserStyle_1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19">
    <w:name w:val="xl69"/>
    <w:basedOn w:val="Normal"/>
    <w:next w:val="UserStyle_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0">
    <w:name w:val="xl70"/>
    <w:basedOn w:val="Normal"/>
    <w:next w:val="UserStyle_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1">
    <w:name w:val="xl71"/>
    <w:basedOn w:val="Normal"/>
    <w:next w:val="UserStyle_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2">
    <w:name w:val="xl72"/>
    <w:basedOn w:val="Normal"/>
    <w:next w:val="UserStyle_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3">
    <w:name w:val="xl73"/>
    <w:basedOn w:val="Normal"/>
    <w:next w:val="UserStyle_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24">
    <w:name w:val="xl74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">
    <w:name w:val="xl75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26">
    <w:name w:val="xl76"/>
    <w:basedOn w:val="Normal"/>
    <w:next w:val="UserStyle_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7">
    <w:name w:val="xl77"/>
    <w:basedOn w:val="Normal"/>
    <w:next w:val="UserStyle_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8">
    <w:name w:val="xl78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9">
    <w:name w:val="xl79"/>
    <w:basedOn w:val="Normal"/>
    <w:next w:val="UserStyle_2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0">
    <w:name w:val="xl80"/>
    <w:basedOn w:val="Normal"/>
    <w:next w:val="UserStyle_3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1">
    <w:name w:val="xl81"/>
    <w:basedOn w:val="Normal"/>
    <w:next w:val="UserStyle_3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2">
    <w:name w:val="xl82"/>
    <w:basedOn w:val="Normal"/>
    <w:next w:val="UserStyle_32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styleId="UserStyle_33">
    <w:name w:val="xl83"/>
    <w:basedOn w:val="Normal"/>
    <w:next w:val="UserStyle_33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</w:style>
  <w:style w:type="paragraph" w:styleId="UserStyle_34">
    <w:name w:val="xl84"/>
    <w:basedOn w:val="Normal"/>
    <w:next w:val="UserStyle_34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styleId="UserStyle_35">
    <w:name w:val="xl85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numbering" w:styleId="UserStyle_36">
    <w:name w:val="Нет списка1"/>
    <w:next w:val="NormalList"/>
    <w:link w:val="Normal"/>
    <w:semiHidden/>
    <w:unhideWhenUsed/>
  </w:style>
  <w:style w:type="character" w:styleId="UserStyle_6">
    <w:name w:val=" Знак Знак3"/>
    <w:next w:val="UserStyle_6"/>
    <w:link w:val="Footer"/>
    <w:rPr>
      <w:sz w:val="24"/>
      <w:szCs w:val="24"/>
    </w:rPr>
  </w:style>
  <w:style w:type="character" w:styleId="UserStyle_3">
    <w:name w:val=" Знак Знак4"/>
    <w:next w:val="UserStyle_3"/>
    <w:link w:val="Acetate"/>
    <w:semiHidden/>
    <w:rPr>
      <w:rFonts w:ascii="Tahoma" w:hAnsi="Tahoma" w:cs="Tahoma"/>
      <w:sz w:val="16"/>
      <w:szCs w:val="16"/>
    </w:rPr>
  </w:style>
  <w:style w:type="paragraph" w:styleId="UserStyle_37">
    <w:name w:val=" Знак Знак2 Знак Знак Знак Знак"/>
    <w:basedOn w:val="Normal"/>
    <w:next w:val="UserStyle_37"/>
    <w:link w:val="Normal"/>
    <w:pPr>
      <w:ind w:firstLine="567"/>
      <w:jc w:val="both"/>
    </w:pPr>
    <w:rPr>
      <w:rFonts w:eastAsia="Calibri"/>
    </w:rPr>
  </w:style>
  <w:style w:type="paragraph" w:styleId="UserStyle_38">
    <w:name w:val=" Знак Знак2 Знак Знак Знак Знак Знак Знак Знак Знак Знак Знак Знак Знак Знак Знак Знак Знак Знак Знак Знак Знак"/>
    <w:basedOn w:val="Normal"/>
    <w:next w:val="UserStyle_38"/>
    <w:link w:val="Normal"/>
    <w:pPr>
      <w:ind w:firstLine="567"/>
      <w:jc w:val="both"/>
    </w:pPr>
    <w:rPr>
      <w:rFonts w:eastAsia="Calibri"/>
    </w:rPr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39"/>
    <w:rPr>
      <w:sz w:val="20"/>
      <w:szCs w:val="20"/>
    </w:rPr>
  </w:style>
  <w:style w:type="character" w:styleId="UserStyle_39">
    <w:name w:val=" Знак Знак1"/>
    <w:basedOn w:val="NormalCharacter"/>
    <w:next w:val="UserStyle_39"/>
    <w:link w:val="AnnotationText"/>
  </w:style>
  <w:style w:type="paragraph" w:styleId="AnnotationSubject">
    <w:name w:val="Тема примечания"/>
    <w:basedOn w:val="AnnotationText"/>
    <w:next w:val="AnnotationText"/>
    <w:link w:val="UserStyle_40"/>
    <w:rPr>
      <w:b/>
      <w:bCs/>
    </w:rPr>
  </w:style>
  <w:style w:type="character" w:styleId="UserStyle_40">
    <w:name w:val=" Знак Знак"/>
    <w:next w:val="UserStyle_40"/>
    <w:link w:val="AnnotationSubject"/>
    <w:rPr>
      <w:b/>
      <w:bCs/>
    </w:rPr>
  </w:style>
  <w:style w:type="numbering" w:styleId="UserStyle_41">
    <w:name w:val="Нет списка2"/>
    <w:next w:val="NormalList"/>
    <w:link w:val="Normal"/>
    <w:semiHidden/>
    <w:unhideWhenUsed/>
  </w:style>
  <w:style w:type="numbering" w:styleId="UserStyle_42">
    <w:name w:val="Нет списка3"/>
    <w:next w:val="NormalList"/>
    <w:link w:val="Normal"/>
    <w:semiHidden/>
    <w:unhideWhenUsed/>
  </w:style>
  <w:style w:type="numbering" w:styleId="UserStyle_43">
    <w:name w:val="Нет списка4"/>
    <w:next w:val="NormalList"/>
    <w:link w:val="Normal"/>
    <w:semiHidden/>
    <w:unhideWhenUsed/>
  </w:style>
  <w:style w:type="paragraph" w:styleId="UserStyle_44">
    <w:name w:val="xl86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45">
    <w:name w:val="xl87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46">
    <w:name w:val="xl88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47">
    <w:name w:val="xl89"/>
    <w:basedOn w:val="Normal"/>
    <w:next w:val="UserStyle_47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48">
    <w:name w:val="xl90"/>
    <w:basedOn w:val="Normal"/>
    <w:next w:val="UserStyle_4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  <w:jc w:val="center"/>
    </w:pPr>
    <w:rPr>
      <w:rFonts w:ascii="Arial" w:hAnsi="Arial" w:eastAsia="Calibri" w:cs="Arial"/>
      <w:b/>
      <w:bCs/>
      <w:sz w:val="16"/>
      <w:szCs w:val="16"/>
    </w:rPr>
  </w:style>
  <w:style w:type="paragraph" w:styleId="UserStyle_49">
    <w:name w:val="xl91"/>
    <w:basedOn w:val="Normal"/>
    <w:next w:val="UserStyle_49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ccccff"/>
      <w:spacing w:before="100" w:beforeAutospacing="1" w:after="100" w:afterAutospacing="1"/>
      <w:jc w:val="center"/>
    </w:pPr>
    <w:rPr>
      <w:rFonts w:ascii="Arial" w:hAnsi="Arial" w:eastAsia="Calibri" w:cs="Arial"/>
      <w:b/>
      <w:bCs/>
      <w:sz w:val="16"/>
      <w:szCs w:val="16"/>
    </w:rPr>
  </w:style>
  <w:style w:type="paragraph" w:styleId="UserStyle_50">
    <w:name w:val="xl92"/>
    <w:basedOn w:val="Normal"/>
    <w:next w:val="UserStyle_5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  <w:jc w:val="center"/>
    </w:pPr>
    <w:rPr>
      <w:rFonts w:ascii="Arial" w:hAnsi="Arial" w:eastAsia="Calibri" w:cs="Arial"/>
      <w:b/>
      <w:bCs/>
      <w:sz w:val="16"/>
      <w:szCs w:val="16"/>
    </w:rPr>
  </w:style>
  <w:style w:type="paragraph" w:styleId="UserStyle_51">
    <w:name w:val="xl93"/>
    <w:basedOn w:val="Normal"/>
    <w:next w:val="UserStyle_51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52">
    <w:name w:val="xl94"/>
    <w:basedOn w:val="Normal"/>
    <w:next w:val="UserStyle_52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53">
    <w:name w:val="xl95"/>
    <w:basedOn w:val="Normal"/>
    <w:next w:val="UserStyle_53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54">
    <w:name w:val="xl96"/>
    <w:basedOn w:val="Normal"/>
    <w:next w:val="UserStyle_54"/>
    <w:link w:val="Normal"/>
    <w:uiPriority w:val="99"/>
    <w:pPr>
      <w:pBdr>
        <w:top w:val="single" w:color="000000" w:sz="8" w:space="0"/>
        <w:left w:val="single" w:color="000000" w:sz="8" w:space="0"/>
        <w:bottom w:val="single" w:color="000000" w:sz="4" w:space="0"/>
      </w:pBdr>
      <w:shd w:val="clear" w:color="000000" w:fill="ccccff"/>
      <w:spacing w:before="100" w:beforeAutospacing="1" w:after="100" w:afterAutospacing="1"/>
    </w:pPr>
    <w:rPr>
      <w:rFonts w:ascii="Arial" w:hAnsi="Arial" w:eastAsia="Calibri" w:cs="Arial"/>
      <w:b/>
      <w:bCs/>
      <w:sz w:val="16"/>
      <w:szCs w:val="16"/>
    </w:rPr>
  </w:style>
  <w:style w:type="paragraph" w:styleId="UserStyle_55">
    <w:name w:val="xl97"/>
    <w:basedOn w:val="Normal"/>
    <w:next w:val="UserStyle_5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Arial" w:hAnsi="Arial" w:eastAsia="Calibri" w:cs="Arial"/>
      <w:sz w:val="16"/>
      <w:szCs w:val="16"/>
    </w:rPr>
  </w:style>
  <w:style w:type="paragraph" w:styleId="UserStyle_56">
    <w:name w:val="xl63"/>
    <w:basedOn w:val="Normal"/>
    <w:next w:val="UserStyle_56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</w:pBdr>
      <w:spacing w:before="100" w:beforeAutospacing="1" w:after="100" w:afterAutospacing="1"/>
    </w:pPr>
    <w:rPr>
      <w:rFonts w:eastAsia="Calibri"/>
      <w:b/>
      <w:bCs/>
      <w:sz w:val="16"/>
      <w:szCs w:val="16"/>
    </w:rPr>
  </w:style>
  <w:style w:type="numbering" w:styleId="UserStyle_57">
    <w:name w:val="Нет списка5"/>
    <w:next w:val="NormalList"/>
    <w:link w:val="Normal"/>
    <w:uiPriority w:val="99"/>
    <w:semiHidden/>
  </w:style>
  <w:style w:type="numbering" w:styleId="UserStyle_58">
    <w:name w:val="Нет списка6"/>
    <w:next w:val="NormalList"/>
    <w:link w:val="Normal"/>
    <w:semiHidden/>
    <w:unhideWhenUsed/>
  </w:style>
  <w:style w:type="numbering" w:styleId="UserStyle_59">
    <w:name w:val="Нет списка7"/>
    <w:next w:val="NormalList"/>
    <w:link w:val="Normal"/>
    <w:uiPriority w:val="99"/>
    <w:semiHidden/>
    <w:unhideWhenUsed/>
  </w:style>
  <w:style w:type="table" w:styleId="UserStyle_60">
    <w:name w:val="Сетка таблицы1"/>
    <w:basedOn w:val="TableNormal"/>
    <w:next w:val="TableGrid"/>
    <w:link w:val="Normal"/>
  </w:style>
  <w:style w:type="paragraph" w:styleId="UserStyle_0">
    <w:name w:val=" Знак Знак5 Знак Знак Знак Знак Знак Знак Знак Знак Знак Знак Знак Знак Знак Знак Знак Знак Знак Знак Знак Знак"/>
    <w:basedOn w:val="Normal"/>
    <w:next w:val="UserStyle_0"/>
    <w:link w:val="NormalCharacter"/>
    <w:rPr>
      <w:rFonts w:ascii="Verdana" w:hAnsi="Verdana" w:cs="Verdana"/>
      <w:sz w:val="20"/>
      <w:szCs w:val="20"/>
      <w:lang w:val="en-US" w:eastAsia="en-US"/>
    </w:rPr>
  </w:style>
  <w:style w:type="paragraph" w:styleId="UserStyle_61">
    <w:name w:val=" Знак Знак1 Знак Знак"/>
    <w:basedOn w:val="Normal"/>
    <w:next w:val="UserStyle_61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2">
    <w:name w:val="Знак Знак"/>
    <w:basedOn w:val="Normal"/>
    <w:next w:val="UserStyle_62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3">
    <w:name w:val="Нумерованный абзац"/>
    <w:next w:val="UserStyle_63"/>
    <w:link w:val="Normal"/>
    <w:pPr>
      <w:tabs>
        <w:tab w:val="left" w:pos="1134" w:leader="none"/>
        <w:tab w:val="num" w:pos="1571" w:leader="none"/>
      </w:tabs>
      <w:spacing w:before="240"/>
      <w:ind w:firstLine="851"/>
      <w:jc w:val="both"/>
    </w:pPr>
    <w:rPr>
      <w:sz w:val="28"/>
      <w:szCs w:val="28"/>
      <w:lang w:val="ru-RU" w:eastAsia="ru-RU" w:bidi="ar-SA"/>
    </w:rPr>
  </w:style>
  <w:style w:type="paragraph" w:styleId="UserStyle_64">
    <w:name w:val=" Знак Знак1 Знак Знак Знак Знак Знак Знак"/>
    <w:basedOn w:val="Normal"/>
    <w:next w:val="UserStyle_64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5">
    <w:name w:val=" Знак Знак1 Знак Знак Знак Знак Знак Знак Знак Знак"/>
    <w:basedOn w:val="Normal"/>
    <w:next w:val="UserStyle_6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6">
    <w:name w:val="Знак Знак5 Знак Знак Знак Знак Знак Знак Знак Знак Знак Знак"/>
    <w:basedOn w:val="Normal"/>
    <w:next w:val="UserStyle_66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67">
    <w:name w:val=" Знак Знак5 Знак Знак Знак Знак Знак Знак Знак Знак Знак Знак"/>
    <w:basedOn w:val="Normal"/>
    <w:next w:val="UserStyle_67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TOC4">
    <w:name w:val="Оглавление 4"/>
    <w:next w:val="Normal"/>
    <w:link w:val="Normal"/>
    <w:rPr>
      <w:rFonts w:eastAsia="SimSun"/>
      <w:lang w:val="ru-RU" w:eastAsia="ru-RU" w:bidi="ar-SA"/>
    </w:rPr>
  </w:style>
  <w:style w:type="character" w:styleId="UserStyle_68">
    <w:name w:val="Верхний колонтитул Знак"/>
    <w:next w:val="UserStyle_68"/>
    <w:link w:val="Normal"/>
    <w:locked/>
    <w:rPr>
      <w:lang w:val="zh-CN" w:eastAsia="zh-CN" w:bidi="ar-SA"/>
    </w:rPr>
  </w:style>
  <w:style w:type="character" w:styleId="UserStyle_69">
    <w:name w:val="Текст выноски Знак"/>
    <w:next w:val="UserStyle_69"/>
    <w:link w:val="Normal"/>
    <w:rPr>
      <w:rFonts w:ascii="Tahoma" w:hAnsi="Tahoma" w:cs="Tahoma"/>
      <w:sz w:val="16"/>
      <w:szCs w:val="16"/>
      <w:lang w:val="zh-C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17974</Characters>
  <CharactersWithSpaces>21085</CharactersWithSpaces>
  <DocSecurity>0</DocSecurity>
  <HyperlinksChanged>false</HyperlinksChanged>
  <Lines>149</Lines>
  <Pages>1</Pages>
  <Paragraphs>42</Paragraphs>
  <ScaleCrop>false</ScaleCrop>
  <SharedDoc>false</SharedDoc>
  <Template>Normal</Template>
  <Words>3153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</dc:creator>
  <cp:lastModifiedBy>qwerty</cp:lastModifiedBy>
  <cp:revision>10</cp:revision>
  <dcterms:created xsi:type="dcterms:W3CDTF">2023-12-14T11:09:00Z</dcterms:created>
  <dcterms:modified xsi:type="dcterms:W3CDTF">2024-11-08T10:34:00Z</dcterms:modified>
  <cp:version>726502</cp:version>
</cp:coreProperties>
</file>