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</w:p>
    <w:p>
      <w:pPr>
        <w:pStyle w:val="BodyTex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</w:r>
    </w:p>
    <w:p>
      <w:pPr>
        <w:pStyle w:val="UserStyle_19"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Петровского муниципального округа Ставропольского края «</w:t>
      </w:r>
      <w:r>
        <w:rPr>
          <w:sz w:val="28"/>
          <w:szCs w:val="28"/>
        </w:rPr>
        <w:t xml:space="preserve">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 2024 год в связи с: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Необходимостью увеличения доходной и расходной частей </w:t>
      </w:r>
      <w:r>
        <w:rPr>
          <w:sz w:val="28"/>
          <w:szCs w:val="28"/>
        </w:rPr>
        <w:t xml:space="preserve">бюджета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– местный бюджет) </w:t>
      </w:r>
      <w:r>
        <w:rPr>
          <w:sz w:val="28"/>
          <w:szCs w:val="28"/>
        </w:rPr>
        <w:t xml:space="preserve">в соответствии с Законом Ставропольского края от 12.12.2023 № 138-кз «О бюджете Ставропольского края на 2024 год и плановый период 2025 и 2026 годов» на сумму 5714,45 тыс. рублей, в том числе за счет: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предоставление государственной социальной помощи малоимущим семьям, малоимущим одиноко проживающим гражданам – 100,00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выплату ежемесячной денежной компенсации на каждого ребенка в возрасте до 18 лет многодетным семьям – 5,82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 – 112,63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выплату социального пособия на погребение – 29,46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оплату жилищно-коммунальных услуг отдельным категориям граждан – 2455,74 тыс. рублей;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межбюджетных трансфертов, передаваемых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 – 3010,80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Необходимостью корректировки расходной части местного бюджета</w:t>
      </w:r>
      <w:r>
        <w:rPr>
          <w:bCs/>
          <w:sz w:val="28"/>
          <w:szCs w:val="28"/>
        </w:rPr>
        <w:t xml:space="preserve"> в сторону увеличения за счет н</w:t>
      </w:r>
      <w:r>
        <w:rPr>
          <w:sz w:val="28"/>
          <w:szCs w:val="28"/>
        </w:rPr>
        <w:t xml:space="preserve">аправления на дополнительное финансирование остатков средств, образовавшихся на основном счете местного бюджета по состоянию на 01 января 2024 года, на общую сумму 7105,95 тыс. рублей, в том числе: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Администрации Петровского муниципального округа Ставропольского края – 3920,58 тыс. рублей: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деклараций безопасности гидротехнических сооружений – 1500,00 тыс. рублей;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увеличение оплаты труда работникам МКУ «Аварийно-спасательное формирование» – 561,10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оплаты труда работникам МКУ «МФЦ в Петровском районе СК» – 492,86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помещений в центральном офисе МКУ «МФЦ в Петровском районе СК» – 606,98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нормативно-правовых актов в СМИ – 200,00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 автомобилей – 100,00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баннеров антитеррористической направленности – 60,00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подведомственных учреждений – 172,57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мебели – 227,07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Отделу имущественных и земельных отношений администрации Петровского муниципального округа Ставропольского края – 1245,57 тыс. рублей, в том числе: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оплаты труда водителям МКУ «СЭМИ» – 152,96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автомобильного транспорта – 457,00 тыс. рублей;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ГСМ – 455,13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огнетушителей – 34,54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стеллажей – 43,54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и содержание зданий – 88,80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не капремонт – 13,60 тыс. рублей.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Финансовому управлению администрации Петровского муниципального округа Ставропольского края – 60,00 тыс. рублей на проведение мебели.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Отделу культуры администрации Петровского муниципального округа Ставропольского края – 67,38 тыс. рублей на проведение мероприятий к Дню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Управлению муниципального хозяйства администрации Петровского муниципального округа Ставропольского края – 1412,42 тыс. рублей, в том числе: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введение двух дополнительных ставок рабочих в МБУ «Коммунальное хозяйство» – 200,42 тыс. рублей;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тахографов – 212,00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ГСМ – 600,00 тыс. рублей;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запасных частей – 400,00 тыс. рублей.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Управлению по делам территорий администрации Петровского муниципального округа Ставропольского края – 400,00 тыс. рублей на приобретение мебели.</w:t>
      </w:r>
    </w:p>
    <w:p>
      <w:pPr>
        <w:pStyle w:val="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В связи с увеличением доходной части местного бюджета на 5714,45 тыс. рублей, увеличением расходной части местного бюджета на 12820,40 тыс. рублей, дефицит местного бюджета увеличится на 7105,95 тыс. рублей и составит 136172,00 тыс. рублей.</w:t>
      </w:r>
      <w:r>
        <w:rPr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Настоящий проект решения Совета депутатов Петровского муниципального округа Ставропольского края соответствует Конституции Российской Федерации, федеральным законам, постановлениям и распоряжениям Правительства Российской Федерации, законам Ставропольского края, постановлениям и распоряжениям Правительства Ставропольского края и Уставу Петровского муниципального округа Ставропольского края.  </w:t>
      </w: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Е.С. Меркулова               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Lucida Sans">
    <w:panose1 w:val="020B0603030804020204"/>
  </w:font>
  <w:font w:name="Liberation Sans">
    <w:panose1 w:val="020B0604020202020204"/>
  </w:font>
  <w:font w:name="Calibri Light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4">
    <w:name w:val="Заголовок 4"/>
    <w:basedOn w:val="Normal"/>
    <w:next w:val="Normal"/>
    <w:link w:val="Normal"/>
    <w:pPr>
      <w:keepNext/>
      <w:numPr>
        <w:numId w:val="1"/>
        <w:ilvl w:val="3"/>
      </w:numPr>
      <w:jc w:val="center"/>
      <w:outlineLvl w:val="3"/>
    </w:pPr>
    <w:rPr>
      <w:color w:val="ff9900"/>
      <w:sz w:val="28"/>
      <w:szCs w:val="20"/>
    </w:rPr>
  </w:style>
  <w:style w:type="paragraph" w:styleId="Heading5">
    <w:name w:val="Заголовок 5"/>
    <w:basedOn w:val="Normal"/>
    <w:next w:val="Normal"/>
    <w:link w:val="Normal"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</w:style>
  <w:style w:type="character" w:styleId="UserStyle_2">
    <w:name w:val="WW8Num2z0"/>
    <w:next w:val="UserStyle_2"/>
    <w:link w:val="Normal"/>
  </w:style>
  <w:style w:type="character" w:styleId="UserStyle_3">
    <w:name w:val="WW8Num3z0"/>
    <w:next w:val="UserStyle_3"/>
    <w:link w:val="Normal"/>
  </w:style>
  <w:style w:type="character" w:styleId="UserStyle_4">
    <w:name w:val="WW8Num4z0"/>
    <w:next w:val="UserStyle_4"/>
    <w:link w:val="Normal"/>
  </w:style>
  <w:style w:type="character" w:styleId="UserStyle_5">
    <w:name w:val="WW8Num5z0"/>
    <w:next w:val="UserStyle_5"/>
    <w:link w:val="Normal"/>
  </w:style>
  <w:style w:type="character" w:styleId="UserStyle_6">
    <w:name w:val="WW8Num6z0"/>
    <w:next w:val="UserStyle_6"/>
    <w:link w:val="Normal"/>
  </w:style>
  <w:style w:type="character" w:styleId="UserStyle_7">
    <w:name w:val="Основной шрифт абзаца1"/>
    <w:next w:val="UserStyle_7"/>
    <w:link w:val="Normal"/>
  </w:style>
  <w:style w:type="character" w:styleId="UserStyle_8">
    <w:name w:val="Верхний колонтитул Знак"/>
    <w:next w:val="UserStyle_8"/>
    <w:link w:val="Normal"/>
    <w:rPr>
      <w:sz w:val="24"/>
      <w:szCs w:val="24"/>
    </w:rPr>
  </w:style>
  <w:style w:type="character" w:styleId="UserStyle_9">
    <w:name w:val="Нижний колонтитул Знак"/>
    <w:next w:val="UserStyle_9"/>
    <w:link w:val="Normal"/>
    <w:rPr>
      <w:sz w:val="24"/>
      <w:szCs w:val="24"/>
    </w:rPr>
  </w:style>
  <w:style w:type="character" w:styleId="UserStyle_10">
    <w:name w:val="Заголовок Знак"/>
    <w:next w:val="UserStyle_10"/>
    <w:link w:val="Normal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11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Lucida Sans"/>
    </w:rPr>
  </w:style>
  <w:style w:type="paragraph" w:styleId="UserStyle_13">
    <w:name w:val="Заголовок1"/>
    <w:basedOn w:val="Normal"/>
    <w:next w:val="Normal"/>
    <w:link w:val="Normal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UserStyle_14">
    <w:name w:val="Название объекта1"/>
    <w:basedOn w:val="Normal"/>
    <w:next w:val="UserStyle_1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5">
    <w:name w:val="Указатель1"/>
    <w:basedOn w:val="Normal"/>
    <w:next w:val="UserStyle_15"/>
    <w:link w:val="Normal"/>
    <w:pPr>
      <w:suppressLineNumbers/>
    </w:pPr>
    <w:rPr>
      <w:rFonts w:cs="Lucida Sans"/>
    </w:rPr>
  </w:style>
  <w:style w:type="paragraph" w:styleId="UserStyle_16">
    <w:name w:val="ConsTitle"/>
    <w:next w:val="UserStyle_16"/>
    <w:link w:val="Normal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UserStyle_17">
    <w:name w:val="Основной текст 21"/>
    <w:basedOn w:val="Normal"/>
    <w:next w:val="UserStyle_17"/>
    <w:link w:val="Normal"/>
    <w:pPr>
      <w:spacing w:before="0" w:after="120" w:line="480" w:lineRule="auto"/>
    </w:pPr>
  </w:style>
  <w:style w:type="paragraph" w:styleId="UserStyle_18">
    <w:name w:val="Основной текст 31"/>
    <w:basedOn w:val="Normal"/>
    <w:next w:val="UserStyle_18"/>
    <w:link w:val="Normal"/>
    <w:pPr>
      <w:spacing w:before="0" w:after="120"/>
    </w:pPr>
    <w:rPr>
      <w:sz w:val="16"/>
      <w:szCs w:val="16"/>
    </w:rPr>
  </w:style>
  <w:style w:type="paragraph" w:styleId="UserStyle_19">
    <w:name w:val="ConsNonformat"/>
    <w:next w:val="UserStyle_19"/>
    <w:link w:val="Normal"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20">
    <w:name w:val="ConsPlusNormal"/>
    <w:next w:val="UserStyle_20"/>
    <w:link w:val="Normal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21">
    <w:name w:val="ConsPlusNonformat"/>
    <w:next w:val="UserStyle_21"/>
    <w:link w:val="Normal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2">
    <w:name w:val=" Знак"/>
    <w:basedOn w:val="Normal"/>
    <w:next w:val="UserStyle_22"/>
    <w:link w:val="Normal"/>
    <w:rPr>
      <w:rFonts w:ascii="Verdana" w:hAnsi="Verdana" w:cs="Verdana"/>
      <w:sz w:val="20"/>
      <w:szCs w:val="20"/>
      <w:lang w:val="en-US"/>
    </w:rPr>
  </w:style>
  <w:style w:type="paragraph" w:styleId="UserStyle_23">
    <w:name w:val="Колонтитул"/>
    <w:basedOn w:val="Normal"/>
    <w:next w:val="UserStyle_2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24">
    <w:name w:val="Header and Footer"/>
    <w:basedOn w:val="Normal"/>
    <w:next w:val="UserStyle_2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5">
    <w:name w:val=" Знак Знак5 Знак Знак Знак Знак Знак Знак Знак Знак Знак Знак Знак Знак"/>
    <w:basedOn w:val="Normal"/>
    <w:next w:val="UserStyle_25"/>
    <w:link w:val="Normal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4636</Characters>
  <CharactersWithSpaces>5439</CharactersWithSpaces>
  <DocSecurity>0</DocSecurity>
  <HyperlinksChanged>false</HyperlinksChanged>
  <Lines>38</Lines>
  <Pages>1</Pages>
  <Paragraphs>10</Paragraphs>
  <ScaleCrop>false</ScaleCrop>
  <SharedDoc>false</SharedDoc>
  <Template>Normal</Template>
  <Words>813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ПОЯСНИТЕЛЬНАЯ ЗАПИСКА </dc:title>
  <dc:creator>Сергей Викторович </dc:creator>
  <cp:lastModifiedBy>qwerty</cp:lastModifiedBy>
  <cp:revision>2</cp:revision>
  <dcterms:created xsi:type="dcterms:W3CDTF">2010-04-25T23:24:00Z</dcterms:created>
  <dcterms:modified xsi:type="dcterms:W3CDTF">2024-09-03T12:04:00Z</dcterms:modified>
  <cp:version>726502</cp:version>
</cp:coreProperties>
</file>