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</w:t>
      </w:r>
    </w:p>
    <w:p>
      <w:pPr>
        <w:pStyle w:val="BodyTex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депутатов Петровского муниципального округа Ставропольского края «</w:t>
      </w:r>
      <w:r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 xml:space="preserve">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</w:t>
      </w:r>
      <w:r>
        <w:rPr>
          <w:sz w:val="28"/>
          <w:szCs w:val="28"/>
        </w:rPr>
      </w:r>
    </w:p>
    <w:p>
      <w:pPr>
        <w:pStyle w:val="UserStyle_15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Петровского муниципального округа Ставропольского края «</w:t>
      </w:r>
      <w:r>
        <w:rPr>
          <w:sz w:val="28"/>
          <w:szCs w:val="28"/>
        </w:rPr>
        <w:t xml:space="preserve">О внесении изменений в решение Совета 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</w:t>
      </w:r>
      <w:r>
        <w:rPr>
          <w:sz w:val="28"/>
          <w:szCs w:val="28"/>
        </w:rPr>
        <w:t xml:space="preserve">» подготовлен:</w:t>
      </w:r>
      <w:r>
        <w:rPr>
          <w:b/>
          <w:bCs/>
          <w:sz w:val="28"/>
          <w:szCs w:val="28"/>
        </w:rPr>
      </w:r>
    </w:p>
    <w:p>
      <w:pPr>
        <w:pStyle w:val="Normal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2024 год в связи с: 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Необходимостью </w:t>
      </w:r>
      <w:r>
        <w:rPr>
          <w:sz w:val="28"/>
          <w:szCs w:val="28"/>
        </w:rPr>
        <w:t xml:space="preserve">увеличения</w:t>
      </w:r>
      <w:r>
        <w:rPr>
          <w:sz w:val="28"/>
          <w:szCs w:val="28"/>
        </w:rPr>
        <w:t xml:space="preserve"> доходной и расходной частей </w:t>
      </w:r>
      <w:r>
        <w:rPr>
          <w:sz w:val="28"/>
          <w:szCs w:val="28"/>
        </w:rPr>
        <w:t xml:space="preserve">бюджета Петровского муниципального округа Ставропольского края (далее – местный бюджет) </w:t>
      </w:r>
      <w:r>
        <w:rPr>
          <w:sz w:val="28"/>
          <w:szCs w:val="28"/>
        </w:rPr>
        <w:t xml:space="preserve">за счет субсидии </w:t>
      </w:r>
      <w:r>
        <w:rPr>
          <w:sz w:val="28"/>
          <w:szCs w:val="28"/>
        </w:rPr>
        <w:t xml:space="preserve">из бюджета Ставропольского края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капитальный ремонт и </w:t>
      </w:r>
      <w:r>
        <w:rPr>
          <w:sz w:val="28"/>
          <w:szCs w:val="28"/>
        </w:rPr>
        <w:t xml:space="preserve">ремонт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32975,44 тыс.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Необходимостью </w:t>
      </w:r>
      <w:r>
        <w:rPr>
          <w:sz w:val="28"/>
          <w:szCs w:val="28"/>
        </w:rPr>
        <w:t xml:space="preserve">увеличения</w:t>
      </w:r>
      <w:r>
        <w:rPr>
          <w:sz w:val="28"/>
          <w:szCs w:val="28"/>
        </w:rPr>
        <w:t xml:space="preserve"> расходной части местного бюджета</w:t>
      </w:r>
      <w:r>
        <w:rPr>
          <w:bCs/>
          <w:sz w:val="28"/>
          <w:szCs w:val="28"/>
        </w:rPr>
        <w:t xml:space="preserve"> за счет н</w:t>
      </w:r>
      <w:r>
        <w:rPr>
          <w:sz w:val="28"/>
          <w:szCs w:val="28"/>
        </w:rPr>
        <w:t xml:space="preserve">аправления на дополнительное финансирование остатков средств, образовавшихся на основном счете местного бюджета по состоянию на 01 января 2024 года, на сумму </w:t>
      </w:r>
      <w:r>
        <w:rPr>
          <w:sz w:val="28"/>
          <w:szCs w:val="28"/>
        </w:rPr>
        <w:t xml:space="preserve">1735,55</w:t>
      </w:r>
      <w:r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правлению муниципального хозяйства администрации Петровского муниципального округа Ставропольского края на софинансирование субсидии на </w:t>
      </w:r>
      <w:r>
        <w:rPr>
          <w:sz w:val="28"/>
          <w:szCs w:val="28"/>
        </w:rPr>
        <w:t xml:space="preserve">капитальный ремонт и </w:t>
      </w:r>
      <w:r>
        <w:rPr>
          <w:sz w:val="28"/>
          <w:szCs w:val="28"/>
        </w:rPr>
        <w:t xml:space="preserve">ремонт автомобильных дорог общего пользования местного значения.</w:t>
      </w:r>
    </w:p>
    <w:p>
      <w:pPr>
        <w:pStyle w:val="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увеличением доходной части местного бюджета на 32975,44 тыс. рублей, увеличением расходной части местного бюджета на 34710,99 тыс. рублей, дефицит местного бюджета увеличится на 1735,55 тыс. рублей и составит 137907,55 тыс. рублей.</w:t>
      </w:r>
      <w:r>
        <w:rPr>
          <w:sz w:val="28"/>
          <w:szCs w:val="28"/>
          <w:highlight w:val="yellow"/>
        </w:rPr>
      </w:r>
    </w:p>
    <w:p>
      <w:pPr>
        <w:pStyle w:val="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2025 год в связи с: 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Необходимостью увеличения доходной и расходной частей местного бюджета за счет субсидии из бюджета Ставропольского края на капитальный ремонт и ремонт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66528,35 тыс. рублей</w:t>
      </w:r>
      <w:r>
        <w:rPr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Необходимостью перераспределения бюджетных ассигнований, предусмотренных управлению муниципального хозяйства администрации Петровского муниципального округа Ставропольского края, на софинансирование субсидии на </w:t>
      </w:r>
      <w:r>
        <w:rPr>
          <w:sz w:val="28"/>
          <w:szCs w:val="28"/>
        </w:rPr>
        <w:t xml:space="preserve">капитальный ремонт и </w:t>
      </w:r>
      <w:r>
        <w:rPr>
          <w:sz w:val="28"/>
          <w:szCs w:val="28"/>
        </w:rPr>
        <w:t xml:space="preserve">ремонт автомобильных дорог общего пользования местного значения в сумме 3501,49 тыс. рублей.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2026 год в связи с: 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Необходимостью увеличения доходной и расходной частей местного бюджета за счет субсидии из бюджета Ставропольского края на капитальный ремонт и ремонт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94948,37 тыс. рублей</w:t>
      </w:r>
      <w:r>
        <w:rPr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Необходимостью перераспределения бюджетных ассигнований, предусмотренных управлению муниципального хозяйства администрации Петровского муниципального округа Ставропольского края, на софинансирование субсидии на </w:t>
      </w:r>
      <w:r>
        <w:rPr>
          <w:sz w:val="28"/>
          <w:szCs w:val="28"/>
        </w:rPr>
        <w:t xml:space="preserve">капитальный ремонт и </w:t>
      </w:r>
      <w:r>
        <w:rPr>
          <w:sz w:val="28"/>
          <w:szCs w:val="28"/>
        </w:rPr>
        <w:t xml:space="preserve">ремонт автомобильных дорог общего пользования местного значения в сумме 4997,28 тыс. рублей.</w:t>
      </w:r>
    </w:p>
    <w:p>
      <w:pPr>
        <w:pStyle w:val="Normal"/>
        <w:ind w:firstLine="540"/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 xml:space="preserve">Настоящий проект решения Совета депутатов Петровского муниципального округа Ставропольского края соответствует Конституции Российской Федерации, федеральным законам, постановлениям и распоряжениям Правительства Российской Федерации, законам Ставропольского края, постановлениям и распоряжениям Правительства Ставропольского края и Уставу Петровского муниципального округа Ставропольского края.  </w:t>
      </w:r>
      <w:r>
        <w:rPr>
          <w:color w:val="ff0000"/>
          <w:sz w:val="28"/>
          <w:szCs w:val="28"/>
          <w:highlight w:val="yellow"/>
        </w:rPr>
      </w:r>
    </w:p>
    <w:p>
      <w:pPr>
        <w:pStyle w:val="Normal"/>
        <w:ind w:firstLine="540"/>
        <w:jc w:val="both"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</w:r>
    </w:p>
    <w:p>
      <w:pPr>
        <w:pStyle w:val="Normal"/>
        <w:ind w:firstLine="540"/>
        <w:jc w:val="both"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</w:r>
    </w:p>
    <w:p>
      <w:pPr>
        <w:pStyle w:val="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Е.С. Меркулова               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Lucida Sans">
    <w:panose1 w:val="020B060303080402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4">
    <w:name w:val="Заголовок 4"/>
    <w:basedOn w:val="Normal"/>
    <w:next w:val="Normal"/>
    <w:link w:val="Normal"/>
    <w:qFormat/>
    <w:pPr>
      <w:keepNext/>
      <w:numPr>
        <w:numId w:val="1"/>
        <w:ilvl w:val="3"/>
      </w:numPr>
      <w:jc w:val="center"/>
      <w:outlineLvl w:val="3"/>
    </w:pPr>
    <w:rPr>
      <w:color w:val="ff9900"/>
      <w:sz w:val="28"/>
      <w:szCs w:val="20"/>
    </w:rPr>
  </w:style>
  <w:style w:type="paragraph" w:styleId="Heading5">
    <w:name w:val="Заголовок 5"/>
    <w:basedOn w:val="Normal"/>
    <w:next w:val="Normal"/>
    <w:link w:val="Normal"/>
    <w:qFormat/>
    <w:pPr>
      <w:numPr>
        <w:numId w:val="1"/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2z0"/>
    <w:next w:val="UserStyle_1"/>
    <w:link w:val="Normal"/>
  </w:style>
  <w:style w:type="character" w:styleId="UserStyle_2">
    <w:name w:val="WW8Num3z0"/>
    <w:next w:val="UserStyle_2"/>
    <w:link w:val="Normal"/>
  </w:style>
  <w:style w:type="character" w:styleId="UserStyle_3">
    <w:name w:val="WW8Num4z0"/>
    <w:next w:val="UserStyle_3"/>
    <w:link w:val="Normal"/>
  </w:style>
  <w:style w:type="character" w:styleId="UserStyle_4">
    <w:name w:val="WW8Num5z0"/>
    <w:next w:val="UserStyle_4"/>
    <w:link w:val="Normal"/>
  </w:style>
  <w:style w:type="character" w:styleId="UserStyle_5">
    <w:name w:val="WW8Num6z0"/>
    <w:next w:val="UserStyle_5"/>
    <w:link w:val="Normal"/>
  </w:style>
  <w:style w:type="character" w:styleId="UserStyle_6">
    <w:name w:val="Основной шрифт абзаца1"/>
    <w:next w:val="UserStyle_6"/>
    <w:link w:val="Normal"/>
  </w:style>
  <w:style w:type="character" w:styleId="UserStyle_7">
    <w:name w:val="Верхний колонтитул Знак"/>
    <w:next w:val="UserStyle_7"/>
    <w:link w:val="Normal"/>
    <w:rPr>
      <w:sz w:val="24"/>
      <w:szCs w:val="24"/>
    </w:rPr>
  </w:style>
  <w:style w:type="character" w:styleId="UserStyle_8">
    <w:name w:val="Нижний колонтитул Знак"/>
    <w:next w:val="UserStyle_8"/>
    <w:link w:val="Normal"/>
    <w:rPr>
      <w:sz w:val="24"/>
      <w:szCs w:val="24"/>
    </w:rPr>
  </w:style>
  <w:style w:type="character" w:styleId="UserStyle_9">
    <w:name w:val="Заголовок Знак"/>
    <w:next w:val="UserStyle_9"/>
    <w:link w:val="Normal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UserStyle_10">
    <w:name w:val="Заголовок1"/>
    <w:basedOn w:val="Normal"/>
    <w:next w:val="Normal"/>
    <w:link w:val="Normal"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BodyText">
    <w:name w:val="Основной текст"/>
    <w:basedOn w:val="Normal"/>
    <w:next w:val="BodyText"/>
    <w:link w:val="Normal"/>
    <w:pPr>
      <w:jc w:val="both"/>
    </w:pPr>
  </w:style>
  <w:style w:type="paragraph" w:styleId="List">
    <w:name w:val="Список"/>
    <w:basedOn w:val="BodyText"/>
    <w:next w:val="List"/>
    <w:link w:val="Normal"/>
    <w:rPr>
      <w:rFonts w:cs="Lucida Sans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1">
    <w:name w:val="Указатель1"/>
    <w:basedOn w:val="Normal"/>
    <w:next w:val="UserStyle_11"/>
    <w:link w:val="Normal"/>
    <w:pPr>
      <w:suppressLineNumbers/>
    </w:pPr>
    <w:rPr>
      <w:rFonts w:cs="Lucida Sans"/>
    </w:rPr>
  </w:style>
  <w:style w:type="paragraph" w:styleId="UserStyle_12">
    <w:name w:val="ConsTitle"/>
    <w:next w:val="UserStyle_12"/>
    <w:link w:val="Normal"/>
    <w:pPr>
      <w:widowControl w:val="off"/>
    </w:pPr>
    <w:rPr>
      <w:rFonts w:ascii="Arial" w:hAnsi="Arial" w:cs="Arial"/>
      <w:b/>
      <w:sz w:val="16"/>
      <w:lang w:val="ru-RU" w:eastAsia="zh-CN" w:bidi="ar-SA"/>
    </w:rPr>
  </w:style>
  <w:style w:type="paragraph" w:styleId="UserStyle_13">
    <w:name w:val="Основной текст 21"/>
    <w:basedOn w:val="Normal"/>
    <w:next w:val="UserStyle_13"/>
    <w:link w:val="Normal"/>
    <w:pPr>
      <w:spacing w:before="0" w:after="120" w:line="480" w:lineRule="auto"/>
    </w:pPr>
  </w:style>
  <w:style w:type="paragraph" w:styleId="UserStyle_14">
    <w:name w:val="Основной текст 31"/>
    <w:basedOn w:val="Normal"/>
    <w:next w:val="UserStyle_14"/>
    <w:link w:val="Normal"/>
    <w:pPr>
      <w:spacing w:before="0" w:after="120"/>
    </w:pPr>
    <w:rPr>
      <w:sz w:val="16"/>
      <w:szCs w:val="16"/>
    </w:rPr>
  </w:style>
  <w:style w:type="paragraph" w:styleId="UserStyle_15">
    <w:name w:val="ConsNonformat"/>
    <w:next w:val="UserStyle_15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UserStyle_16">
    <w:name w:val="ConsPlusNormal"/>
    <w:next w:val="UserStyle_16"/>
    <w:link w:val="Normal"/>
    <w:pPr>
      <w:widowControl w:val="off"/>
      <w:ind w:firstLine="720"/>
    </w:pPr>
    <w:rPr>
      <w:rFonts w:ascii="Arial" w:hAnsi="Arial" w:cs="Arial"/>
      <w:lang w:val="ru-RU" w:eastAsia="zh-CN" w:bidi="ar-SA"/>
    </w:rPr>
  </w:style>
  <w:style w:type="paragraph" w:styleId="UserStyle_17">
    <w:name w:val="ConsPlusNonformat"/>
    <w:next w:val="UserStyle_17"/>
    <w:link w:val="Normal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18">
    <w:name w:val=" Знак"/>
    <w:basedOn w:val="Normal"/>
    <w:next w:val="UserStyle_18"/>
    <w:link w:val="Normal"/>
    <w:rPr>
      <w:rFonts w:ascii="Verdana" w:hAnsi="Verdana" w:cs="Verdana"/>
      <w:sz w:val="20"/>
      <w:szCs w:val="20"/>
      <w:lang w:val="en-US"/>
    </w:rPr>
  </w:style>
  <w:style w:type="paragraph" w:styleId="UserStyle_19">
    <w:name w:val="Колонтитул"/>
    <w:basedOn w:val="Normal"/>
    <w:next w:val="UserStyle_19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20">
    <w:name w:val=" Знак Знак5 Знак Знак Знак Знак Знак Знак Знак Знак Знак Знак Знак Знак"/>
    <w:basedOn w:val="Normal"/>
    <w:next w:val="UserStyle_20"/>
    <w:link w:val="Normal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3017</Characters>
  <CharactersWithSpaces>3539</CharactersWithSpaces>
  <DocSecurity>0</DocSecurity>
  <HyperlinksChanged>false</HyperlinksChanged>
  <Lines>25</Lines>
  <Pages>1</Pages>
  <Paragraphs>7</Paragraphs>
  <ScaleCrop>false</ScaleCrop>
  <SharedDoc>false</SharedDoc>
  <Template>Normal</Template>
  <Words>529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ПОЯСНИТЕЛЬНАЯ ЗАПИСКА </dc:title>
  <dc:creator>Сергей Викторович </dc:creator>
  <cp:lastModifiedBy>qwerty</cp:lastModifiedBy>
  <cp:revision>10</cp:revision>
  <dcterms:created xsi:type="dcterms:W3CDTF">2010-04-26T00:24:00Z</dcterms:created>
  <dcterms:modified xsi:type="dcterms:W3CDTF">2024-10-28T11:39:00Z</dcterms:modified>
  <cp:version>726502</cp:version>
</cp:coreProperties>
</file>