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3"/>
        <w:rPr>
          <w:szCs w:val="32"/>
        </w:rPr>
      </w:pPr>
      <w:r>
        <w:rPr>
          <w:szCs w:val="32"/>
        </w:rPr>
        <w:t xml:space="preserve">П О С Т А Н О В Л Е Н И Е</w:t>
      </w:r>
      <w:r>
        <w:rPr>
          <w:szCs w:val="32"/>
        </w:rPr>
      </w:r>
    </w:p>
    <w:p>
      <w:pPr>
        <w:pStyle w:val="6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3"/>
        <w:rPr>
          <w:b w:val="0"/>
          <w:sz w:val="24"/>
        </w:rPr>
      </w:pPr>
      <w:r>
        <w:rPr>
          <w:b w:val="0"/>
          <w:sz w:val="24"/>
        </w:rPr>
        <w:t xml:space="preserve">АДМИНИСТРАЦИИ ПЕТРОВСКОГО </w:t>
      </w:r>
      <w:r>
        <w:rPr>
          <w:b w:val="0"/>
          <w:sz w:val="24"/>
        </w:rPr>
        <w:t xml:space="preserve">ГОРОДСКОГО ОКРУГА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</w:r>
      <w:r>
        <w:rPr>
          <w:b w:val="0"/>
          <w:sz w:val="24"/>
        </w:rPr>
      </w:r>
    </w:p>
    <w:p>
      <w:pPr>
        <w:pStyle w:val="683"/>
        <w:rPr>
          <w:b w:val="0"/>
          <w:sz w:val="24"/>
        </w:rPr>
      </w:pPr>
      <w:r>
        <w:rPr>
          <w:b w:val="0"/>
          <w:sz w:val="24"/>
        </w:rPr>
        <w:t xml:space="preserve">СТАВРОПОЛЬСКОГО КРАЯ</w:t>
      </w:r>
      <w:r>
        <w:rPr>
          <w:b w:val="0"/>
          <w:sz w:val="24"/>
        </w:rPr>
      </w:r>
    </w:p>
    <w:p>
      <w:pPr>
        <w:pStyle w:val="683"/>
        <w:rPr>
          <w:b w:val="0"/>
          <w:sz w:val="24"/>
        </w:rPr>
      </w:pPr>
      <w:r>
        <w:rPr>
          <w:b w:val="0"/>
          <w:sz w:val="24"/>
        </w:rPr>
      </w:r>
      <w:r>
        <w:rPr>
          <w:b w:val="0"/>
          <w:sz w:val="2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83"/>
              <w:ind w:left="-108"/>
              <w:jc w:val="both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18 марта 2019 г.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83"/>
              <w:jc w:val="right"/>
              <w:rPr>
                <w:b w:val="0"/>
                <w:sz w:val="24"/>
                <w:lang w:val="ru-RU" w:eastAsia="ru-RU"/>
              </w:rPr>
            </w:pPr>
            <w:r>
              <w:rPr>
                <w:b w:val="0"/>
                <w:sz w:val="24"/>
                <w:lang w:val="ru-RU" w:eastAsia="ru-RU"/>
              </w:rPr>
              <w:t xml:space="preserve">№ 677</w:t>
            </w:r>
            <w:r>
              <w:rPr>
                <w:b w:val="0"/>
                <w:sz w:val="24"/>
                <w:lang w:val="ru-RU" w:eastAsia="ru-RU"/>
              </w:rPr>
            </w:r>
            <w:r>
              <w:rPr>
                <w:b w:val="0"/>
                <w:sz w:val="24"/>
                <w:lang w:val="ru-RU" w:eastAsia="ru-RU"/>
              </w:rPr>
            </w:r>
          </w:p>
        </w:tc>
      </w:tr>
    </w:tbl>
    <w:p>
      <w:pPr>
        <w:pStyle w:val="651"/>
        <w:spacing w:line="240" w:lineRule="exact"/>
      </w:pPr>
      <w:r/>
      <w:r/>
    </w:p>
    <w:p>
      <w:pPr>
        <w:pStyle w:val="661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городского округа Ставропол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sz w:val="28"/>
          <w:szCs w:val="28"/>
        </w:rPr>
        <w:t xml:space="preserve"> 2018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1982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плана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по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дорожного хозяйства и транспорта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28 февраля 2019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о/д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субсидий из бюджета Ставропольского края за счёт средств дорожного фонда Ставропольского края бюджетам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софинансирование мероприятий по </w:t>
      </w:r>
      <w:r>
        <w:rPr>
          <w:rFonts w:ascii="Times New Roman" w:hAnsi="Times New Roman" w:cs="Times New Roman"/>
          <w:sz w:val="28"/>
          <w:szCs w:val="28"/>
        </w:rPr>
        <w:t xml:space="preserve">дорожной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jc w:val="both"/>
      </w:pPr>
      <w:r/>
      <w:r/>
    </w:p>
    <w:p>
      <w:pPr>
        <w:pStyle w:val="651"/>
        <w:jc w:val="both"/>
      </w:pPr>
      <w:r/>
      <w:r/>
    </w:p>
    <w:p>
      <w:pPr>
        <w:pStyle w:val="651"/>
        <w:jc w:val="both"/>
      </w:pPr>
      <w:r>
        <w:t xml:space="preserve">ПОСТАНОВЛЯЕТ:</w:t>
        <w:tab/>
      </w:r>
      <w:r/>
    </w:p>
    <w:p>
      <w:pPr>
        <w:pStyle w:val="651"/>
        <w:jc w:val="both"/>
      </w:pPr>
      <w:r/>
      <w:r/>
    </w:p>
    <w:p>
      <w:pPr>
        <w:pStyle w:val="651"/>
        <w:jc w:val="both"/>
      </w:pPr>
      <w:r/>
      <w:r/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Петровского городского округа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08 ноября 2018 г. № 1982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плана проведения работ по ремонту автомобильных дорог общего пользования местного значения, находящихся в собственности Петровского городского округа Ставропольского края, на 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 </w:t>
      </w:r>
      <w:r>
        <w:rPr>
          <w:rFonts w:ascii="Times New Roman" w:hAnsi="Times New Roman" w:cs="Times New Roman"/>
          <w:sz w:val="28"/>
          <w:szCs w:val="28"/>
        </w:rPr>
        <w:t xml:space="preserve">проведения работ по </w:t>
      </w:r>
      <w:r>
        <w:rPr>
          <w:rFonts w:ascii="Times New Roman" w:hAnsi="Times New Roman" w:cs="Times New Roman"/>
          <w:sz w:val="28"/>
          <w:szCs w:val="28"/>
        </w:rPr>
        <w:t xml:space="preserve">ремонт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в прилагаемой редакции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Пункт 2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администрации Петровского городско</w:t>
      </w:r>
      <w:r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расходное обязательство на 2019 год по ремонту автомобильных дорог общего пользования местного значения, находящихся в собственности Петровского городского округа Ставропольского края, предусмотренное планом ремонта, в сумме </w:t>
      </w:r>
      <w:r>
        <w:rPr>
          <w:rFonts w:ascii="Times New Roman" w:hAnsi="Times New Roman" w:cs="Times New Roman"/>
          <w:sz w:val="28"/>
          <w:szCs w:val="28"/>
        </w:rPr>
        <w:t xml:space="preserve">14718</w:t>
      </w:r>
      <w:r>
        <w:rPr>
          <w:rFonts w:ascii="Times New Roman" w:hAnsi="Times New Roman" w:cs="Times New Roman"/>
          <w:sz w:val="28"/>
          <w:szCs w:val="28"/>
        </w:rPr>
        <w:t xml:space="preserve">4660</w:t>
      </w:r>
      <w:r>
        <w:rPr>
          <w:rFonts w:ascii="Times New Roman" w:hAnsi="Times New Roman" w:cs="Times New Roman"/>
          <w:sz w:val="28"/>
          <w:szCs w:val="28"/>
        </w:rPr>
        <w:t xml:space="preserve"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за счёт средств дорожного фонда Ставропольского края, предоставленных в форме субсидии </w:t>
      </w:r>
      <w:r>
        <w:rPr>
          <w:rFonts w:ascii="Times New Roman" w:hAnsi="Times New Roman" w:cs="Times New Roman"/>
          <w:sz w:val="28"/>
          <w:szCs w:val="28"/>
        </w:rPr>
        <w:t xml:space="preserve">139825427</w:t>
      </w:r>
      <w:r>
        <w:rPr>
          <w:rFonts w:ascii="Times New Roman" w:hAnsi="Times New Roman" w:cs="Times New Roman"/>
          <w:sz w:val="28"/>
          <w:szCs w:val="28"/>
        </w:rPr>
        <w:t xml:space="preserve"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за счёт средств бюджета Петровского городского округа Ставропо</w:t>
      </w:r>
      <w:r>
        <w:rPr>
          <w:rFonts w:ascii="Times New Roman" w:hAnsi="Times New Roman" w:cs="Times New Roman"/>
          <w:sz w:val="28"/>
          <w:szCs w:val="28"/>
        </w:rPr>
        <w:t xml:space="preserve">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7359</w:t>
      </w:r>
      <w:r>
        <w:rPr>
          <w:rFonts w:ascii="Times New Roman" w:hAnsi="Times New Roman" w:cs="Times New Roman"/>
          <w:sz w:val="28"/>
          <w:szCs w:val="28"/>
        </w:rPr>
        <w:t xml:space="preserve">233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рублей»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 пункте 3 слова «равный </w:t>
      </w:r>
      <w:r>
        <w:rPr>
          <w:rFonts w:ascii="Times New Roman" w:hAnsi="Times New Roman" w:cs="Times New Roman"/>
          <w:sz w:val="28"/>
          <w:szCs w:val="28"/>
        </w:rPr>
        <w:t xml:space="preserve">32418</w:t>
      </w:r>
      <w:r>
        <w:rPr>
          <w:rFonts w:ascii="Times New Roman" w:hAnsi="Times New Roman" w:cs="Times New Roman"/>
          <w:sz w:val="28"/>
          <w:szCs w:val="28"/>
        </w:rPr>
        <w:t xml:space="preserve"> метр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равный </w:t>
      </w:r>
      <w:r>
        <w:rPr>
          <w:rFonts w:ascii="Times New Roman" w:hAnsi="Times New Roman" w:cs="Times New Roman"/>
          <w:sz w:val="28"/>
          <w:szCs w:val="28"/>
        </w:rPr>
        <w:t xml:space="preserve">237</w:t>
      </w:r>
      <w:r>
        <w:rPr>
          <w:rFonts w:ascii="Times New Roman" w:hAnsi="Times New Roman" w:cs="Times New Roman"/>
          <w:sz w:val="28"/>
          <w:szCs w:val="28"/>
        </w:rPr>
        <w:t xml:space="preserve">51 </w:t>
      </w:r>
      <w:r>
        <w:rPr>
          <w:rFonts w:ascii="Times New Roman" w:hAnsi="Times New Roman" w:cs="Times New Roman"/>
          <w:sz w:val="28"/>
          <w:szCs w:val="28"/>
        </w:rPr>
        <w:t xml:space="preserve">метр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1"/>
        <w:ind w:firstLine="709"/>
        <w:jc w:val="both"/>
        <w:rPr>
          <w:rFonts w:cs="Times New Roman"/>
          <w:szCs w:val="28"/>
        </w:rPr>
      </w:pPr>
      <w:r>
        <w:t xml:space="preserve">2</w:t>
      </w:r>
      <w:r>
        <w:t xml:space="preserve">. </w:t>
      </w:r>
      <w:r>
        <w:rPr>
          <w:rFonts w:cs="Times New Roman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А.И.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</w:pPr>
      <w:r>
        <w:t xml:space="preserve">3</w:t>
      </w:r>
      <w:r>
        <w:t xml:space="preserve">. Настоящее постановление</w:t>
      </w:r>
      <w:r>
        <w:t xml:space="preserve"> вступает в силу</w:t>
      </w:r>
      <w:r>
        <w:t xml:space="preserve"> с</w:t>
      </w:r>
      <w:r>
        <w:t xml:space="preserve">о дня его </w:t>
      </w:r>
      <w:r>
        <w:t xml:space="preserve">официального опубликования в газете </w:t>
      </w:r>
      <w:r>
        <w:t xml:space="preserve">«</w:t>
      </w:r>
      <w:r>
        <w:t xml:space="preserve">Вестник Петровского городского округа</w:t>
      </w:r>
      <w:r>
        <w:t xml:space="preserve">»</w:t>
      </w:r>
      <w:r>
        <w:t xml:space="preserve">.</w:t>
      </w:r>
      <w:r/>
    </w:p>
    <w:p>
      <w:pPr>
        <w:pStyle w:val="681"/>
        <w:ind w:right="0"/>
        <w:spacing w:line="240" w:lineRule="exact"/>
        <w:widowControl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81"/>
        <w:ind w:right="0"/>
        <w:spacing w:line="240" w:lineRule="exact"/>
        <w:widowControl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</w:r>
      <w:r>
        <w:rPr>
          <w:rFonts w:ascii="Times New Roman" w:hAnsi="Times New Roman" w:cs="Arial"/>
          <w:sz w:val="28"/>
          <w:szCs w:val="28"/>
        </w:rPr>
      </w:r>
    </w:p>
    <w:p>
      <w:pPr>
        <w:pStyle w:val="651"/>
        <w:spacing w:line="240" w:lineRule="exact"/>
        <w:rPr>
          <w:szCs w:val="28"/>
        </w:rPr>
      </w:pPr>
      <w:r>
        <w:rPr>
          <w:szCs w:val="28"/>
        </w:rPr>
        <w:t xml:space="preserve">Глава Петровского</w:t>
      </w:r>
      <w:r>
        <w:rPr>
          <w:szCs w:val="28"/>
        </w:rPr>
      </w:r>
    </w:p>
    <w:p>
      <w:pPr>
        <w:pStyle w:val="651"/>
        <w:spacing w:line="240" w:lineRule="exact"/>
        <w:rPr>
          <w:szCs w:val="28"/>
        </w:rPr>
      </w:pPr>
      <w:r>
        <w:rPr>
          <w:szCs w:val="28"/>
        </w:rPr>
        <w:t xml:space="preserve">городского округа                                                             </w:t>
      </w:r>
      <w:r>
        <w:rPr>
          <w:szCs w:val="28"/>
        </w:rPr>
      </w:r>
    </w:p>
    <w:p>
      <w:pPr>
        <w:pStyle w:val="651"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А.А.Захарченко</w:t>
      </w:r>
      <w:r>
        <w:rPr>
          <w:szCs w:val="28"/>
        </w:rPr>
      </w:r>
    </w:p>
    <w:p>
      <w:pPr>
        <w:pStyle w:val="681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81"/>
        <w:ind w:right="0"/>
        <w:jc w:val="both"/>
        <w:spacing w:line="240" w:lineRule="exac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1"/>
        <w:jc w:val="both"/>
        <w:spacing w:line="240" w:lineRule="exact"/>
        <w:rPr>
          <w:rFonts w:cs="Times New Roman"/>
          <w:color w:val="ffffff"/>
          <w:szCs w:val="28"/>
        </w:rPr>
      </w:pPr>
      <w:r>
        <w:rPr>
          <w:rFonts w:cs="Times New Roman"/>
          <w:color w:val="ffffff"/>
          <w:szCs w:val="28"/>
        </w:rPr>
        <w:t xml:space="preserve">ста администрации Петровского городского округа Ставропольского края                                                                                                                   </w:t>
      </w:r>
      <w:r>
        <w:rPr>
          <w:rFonts w:cs="Times New Roman"/>
          <w:color w:val="ffffff"/>
          <w:szCs w:val="28"/>
        </w:rPr>
      </w:r>
    </w:p>
    <w:p>
      <w:pPr>
        <w:pStyle w:val="651"/>
        <w:jc w:val="right"/>
        <w:spacing w:line="240" w:lineRule="exact"/>
        <w:rPr>
          <w:rFonts w:cs="Times New Roman"/>
          <w:color w:val="ffffff"/>
          <w:szCs w:val="28"/>
        </w:rPr>
        <w:sectPr>
          <w:headerReference w:type="even" r:id="rId9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cs="Times New Roman"/>
          <w:color w:val="ffffff"/>
          <w:szCs w:val="28"/>
        </w:rPr>
        <w:t xml:space="preserve">                                                                                                             Е.В.Поряно</w:t>
      </w:r>
      <w:r>
        <w:rPr>
          <w:rFonts w:cs="Times New Roman"/>
          <w:color w:val="ffffff"/>
          <w:szCs w:val="28"/>
        </w:rPr>
      </w:r>
      <w:r>
        <w:rPr>
          <w:rFonts w:cs="Times New Roman"/>
          <w:color w:val="ffffff"/>
          <w:szCs w:val="28"/>
        </w:rPr>
      </w:r>
    </w:p>
    <w:tbl>
      <w:tblPr>
        <w:tblW w:w="1442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747"/>
        <w:gridCol w:w="467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51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Утвержден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51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9" w:type="dxa"/>
            <w:vAlign w:val="top"/>
            <w:textDirection w:val="lrTb"/>
            <w:noWrap w:val="false"/>
          </w:tcPr>
          <w:p>
            <w:pPr>
              <w:pStyle w:val="651"/>
              <w:ind w:left="-108" w:firstLine="108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постановлением администрации Петровского городского округа Ставропольского края</w:t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747" w:type="dxa"/>
            <w:vAlign w:val="top"/>
            <w:textDirection w:val="lrTb"/>
            <w:noWrap w:val="false"/>
          </w:tcPr>
          <w:p>
            <w:pPr>
              <w:pStyle w:val="651"/>
              <w:spacing w:line="240" w:lineRule="exact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7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от 08 ноября 2018 г. № 1982</w:t>
            </w:r>
            <w:r>
              <w:rPr>
                <w:szCs w:val="28"/>
              </w:rPr>
            </w:r>
          </w:p>
          <w:p>
            <w:pPr>
              <w:pStyle w:val="651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(в ред. от</w:t>
            </w:r>
            <w:r>
              <w:rPr>
                <w:szCs w:val="28"/>
              </w:rPr>
              <w:t xml:space="preserve"> 18 марта 2019 г. № 677)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</w:tbl>
    <w:p>
      <w:pPr>
        <w:pStyle w:val="668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8"/>
        <w:jc w:val="center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ПЛАН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61"/>
        <w:ind w:firstLine="0"/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работ по ремонту автомобильных дорог общего пользования местного значения, находящихся в собственности Петровского городского округа Ставропольского края, на 2019 год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431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1134"/>
        <w:gridCol w:w="1700"/>
        <w:gridCol w:w="1842"/>
        <w:gridCol w:w="1559"/>
        <w:gridCol w:w="1038"/>
        <w:gridCol w:w="2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9"/>
        </w:trPr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направления расходования средств, наименование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произ-водства работ (начало – ввод)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 мощ-нос-тей, км/м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 финанси-рования,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gridSpan w:val="2"/>
            <w:tcW w:w="3401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счёт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left="32"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Доле-вое учас-тие бюд-жета МО,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left="32"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vMerge w:val="restart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Плановое значение целевого показателя результативности использования субсидии - протяженность автомобильных дорог общего пользования местного значения и искусственных сооружений на них, приведенных в нормативное состояние, (м)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бюджета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vMerge w:val="continue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дорожного хозяйства -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14718</w:t>
            </w:r>
            <w:r>
              <w:rPr>
                <w:rFonts w:cs="Times New Roman"/>
                <w:color w:val="000000"/>
              </w:rPr>
              <w:t xml:space="preserve">4</w:t>
            </w:r>
            <w:r>
              <w:rPr>
                <w:rFonts w:cs="Times New Roman"/>
                <w:color w:val="000000"/>
              </w:rPr>
              <w:t xml:space="preserve">,</w:t>
            </w:r>
            <w:r>
              <w:rPr>
                <w:rFonts w:cs="Times New Roman"/>
                <w:color w:val="000000"/>
              </w:rPr>
              <w:t xml:space="preserve">66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13982</w:t>
            </w:r>
            <w:r>
              <w:rPr>
                <w:rFonts w:cs="Times New Roman"/>
                <w:color w:val="000000"/>
              </w:rPr>
              <w:t xml:space="preserve">5</w:t>
            </w:r>
            <w:r>
              <w:rPr>
                <w:rFonts w:cs="Times New Roman"/>
                <w:color w:val="000000"/>
              </w:rPr>
              <w:t xml:space="preserve">,</w:t>
            </w:r>
            <w:r>
              <w:rPr>
                <w:rFonts w:cs="Times New Roman"/>
                <w:color w:val="000000"/>
              </w:rPr>
              <w:t xml:space="preserve">427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7359,</w:t>
            </w:r>
            <w:r>
              <w:rPr>
                <w:rFonts w:cs="Times New Roman"/>
                <w:color w:val="000000"/>
              </w:rPr>
              <w:t xml:space="preserve">233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140450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14718</w:t>
            </w:r>
            <w:r>
              <w:rPr>
                <w:rFonts w:cs="Times New Roman"/>
                <w:color w:val="000000"/>
              </w:rPr>
              <w:t xml:space="preserve">4</w:t>
            </w:r>
            <w:r>
              <w:rPr>
                <w:rFonts w:cs="Times New Roman"/>
                <w:color w:val="000000"/>
              </w:rPr>
              <w:t xml:space="preserve">,</w:t>
            </w:r>
            <w:r>
              <w:rPr>
                <w:rFonts w:cs="Times New Roman"/>
                <w:color w:val="000000"/>
              </w:rPr>
              <w:t xml:space="preserve">66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13982</w:t>
            </w:r>
            <w:r>
              <w:rPr>
                <w:rFonts w:cs="Times New Roman"/>
                <w:color w:val="000000"/>
              </w:rPr>
              <w:t xml:space="preserve">5</w:t>
            </w:r>
            <w:r>
              <w:rPr>
                <w:rFonts w:cs="Times New Roman"/>
                <w:color w:val="000000"/>
              </w:rPr>
              <w:t xml:space="preserve">,</w:t>
            </w:r>
            <w:r>
              <w:rPr>
                <w:rFonts w:cs="Times New Roman"/>
                <w:color w:val="000000"/>
              </w:rPr>
              <w:t xml:space="preserve">427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7359,</w:t>
            </w:r>
            <w:r>
              <w:rPr>
                <w:rFonts w:cs="Times New Roman"/>
                <w:color w:val="000000"/>
              </w:rPr>
              <w:t xml:space="preserve">233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т.ч. пообъектно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«Гофицкое –Спицевка» по ул. Центральной (ПК 0+00 - ПК 15+50) в селе Высоцкое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1,55/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10056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9096,6800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8641,8460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454,834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«Подъезд к селу Донская Балка от автомобильной дороги «Светлоград - Благодарный – Буденновск» по ул. Ленина в селе Донская Балка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9220,9200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8759,8740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461,046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Сараева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селе Константиновское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1,772/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11621,4500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11040,3775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581,0725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Ледовского (ПК 0+00-ПК 3+68; ПК 9+10 - ПК 17+10)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(второй этап) в селе Константиновское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1,168/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757</w:t>
            </w:r>
            <w:r>
              <w:rPr>
                <w:rFonts w:cs="Times New Roman"/>
                <w:bCs/>
                <w:color w:val="000000"/>
              </w:rPr>
              <w:t xml:space="preserve">2</w:t>
            </w:r>
            <w:r>
              <w:rPr>
                <w:rFonts w:cs="Times New Roman"/>
                <w:bCs/>
                <w:color w:val="000000"/>
              </w:rPr>
              <w:t xml:space="preserve">,2200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719</w:t>
            </w:r>
            <w:r>
              <w:rPr>
                <w:rFonts w:cs="Times New Roman"/>
                <w:bCs/>
                <w:color w:val="000000"/>
              </w:rPr>
              <w:t xml:space="preserve">3</w:t>
            </w:r>
            <w:r>
              <w:rPr>
                <w:rFonts w:cs="Times New Roman"/>
                <w:bCs/>
                <w:color w:val="000000"/>
              </w:rPr>
              <w:t xml:space="preserve">,</w:t>
            </w:r>
            <w:r>
              <w:rPr>
                <w:rFonts w:cs="Times New Roman"/>
                <w:bCs/>
                <w:color w:val="000000"/>
              </w:rPr>
              <w:t xml:space="preserve">609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378,</w:t>
            </w:r>
            <w:r>
              <w:rPr>
                <w:rFonts w:cs="Times New Roman"/>
                <w:bCs/>
                <w:color w:val="000000"/>
              </w:rPr>
              <w:t xml:space="preserve">611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1168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по ул. Красная, ул. Почтовая в поселке Прикалаусский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0,436/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2398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3509,6300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3334,1485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175,4815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«Светлоград -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Просянка» по ул. Мира в селе Просянка Петровского района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1,0/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463</w:t>
            </w:r>
            <w:r>
              <w:rPr>
                <w:rFonts w:cs="Times New Roman"/>
                <w:bCs/>
                <w:color w:val="000000"/>
              </w:rPr>
              <w:t xml:space="preserve">8</w:t>
            </w:r>
            <w:r>
              <w:rPr>
                <w:rFonts w:cs="Times New Roman"/>
                <w:bCs/>
                <w:color w:val="000000"/>
              </w:rPr>
              <w:t xml:space="preserve">,</w:t>
            </w:r>
            <w:r>
              <w:rPr>
                <w:rFonts w:cs="Times New Roman"/>
                <w:bCs/>
                <w:color w:val="000000"/>
              </w:rPr>
              <w:t xml:space="preserve">22</w:t>
            </w:r>
            <w:r>
              <w:rPr>
                <w:rFonts w:cs="Times New Roman"/>
                <w:bCs/>
                <w:color w:val="000000"/>
              </w:rPr>
              <w:t xml:space="preserve">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440</w:t>
            </w:r>
            <w:r>
              <w:rPr>
                <w:rFonts w:cs="Times New Roman"/>
                <w:bCs/>
                <w:color w:val="000000"/>
              </w:rPr>
              <w:t xml:space="preserve">6</w:t>
            </w:r>
            <w:r>
              <w:rPr>
                <w:rFonts w:cs="Times New Roman"/>
                <w:bCs/>
                <w:color w:val="000000"/>
              </w:rPr>
              <w:t xml:space="preserve">,</w:t>
            </w:r>
            <w:r>
              <w:rPr>
                <w:rFonts w:cs="Times New Roman"/>
                <w:bCs/>
                <w:color w:val="000000"/>
              </w:rPr>
              <w:t xml:space="preserve">309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231,</w:t>
            </w:r>
            <w:r>
              <w:rPr>
                <w:rFonts w:cs="Times New Roman"/>
                <w:bCs/>
                <w:color w:val="000000"/>
              </w:rPr>
              <w:t xml:space="preserve">911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Красной в поселке Рогатая Балка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1,39/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8174,9400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7766,193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408,747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«Прикалаусский - Шангала – Мартыновка» по ул. Советская в селе Шангала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1,57/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8002,0300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7601,9285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400,1015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Маяковского в селе Благодатное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1,6/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4785,4200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4546,1490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239,271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77"/>
        </w:trPr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«Шведино - Малые Ягуры» по ул. Молодежн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Советск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селе Шведино Петровского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5043,7200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4791,5340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252,186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Базарной в селе Гофицкое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0,87/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5837,7700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5545,8815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</w:rPr>
              <w:t xml:space="preserve">291,8885</w:t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  <w:r>
              <w:rPr>
                <w:rFonts w:cs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по ул. 60 лет Октября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0,89/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7426,1100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7054,8045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371,3055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Кисличан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(ПК 20+70км до 32+20км) (второй этап)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1,15/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8910,7800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8465,2410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445,539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Крайней, пер. 2 - му  Крайнему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1,33/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7448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5204,7200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4944,4840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260,236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участке между ул. Крупской и пл. 50 лет Октября)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Светлограде Петровского 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0,33/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4742,5000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4505,3750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237,125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Садовой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(участок от ПК 19+00 до ПК 37+80)(второй этап)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1,88/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13017,9000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12367,0050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650,895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Кузнечной (участок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5+40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19+00)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(второй этап)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1,36/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11285,0900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10720,8355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564,2545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ул. Бассейная (на участке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1+050км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1+800км) в городе Светло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0,75/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7727,9700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7341,5715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386,3985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участка автомобильной дороги общего пользования местного значения по ул. Сараева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51"/>
            </w:pPr>
            <w:r>
              <w:rPr>
                <w:rFonts w:cs="Times New Roman"/>
                <w:szCs w:val="28"/>
                <w:lang w:val="en-US"/>
              </w:rPr>
              <w:t xml:space="preserve">II</w:t>
            </w:r>
            <w:r>
              <w:rPr>
                <w:rFonts w:cs="Times New Roman"/>
                <w:szCs w:val="28"/>
              </w:rPr>
              <w:t xml:space="preserve">-</w:t>
            </w:r>
            <w:r>
              <w:rPr>
                <w:rFonts w:cs="Times New Roman"/>
                <w:szCs w:val="28"/>
                <w:lang w:val="en-US"/>
              </w:rPr>
              <w:t xml:space="preserve">IV</w:t>
            </w:r>
            <w:r>
              <w:rPr>
                <w:rFonts w:cs="Times New Roman"/>
                <w:szCs w:val="28"/>
              </w:rPr>
              <w:t xml:space="preserve"> кв. 2019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3780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5965,5700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5667,2915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298,2785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52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дороги общего пользования местного значения по ул. Тутиновая (от ул. Спортивной до ул. Сараева) в городе Светлограде Петровского городского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0,6/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0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5401,0200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842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5130,9690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</w:rPr>
              <w:t xml:space="preserve">270,051</w:t>
            </w:r>
            <w:r>
              <w:rPr>
                <w:rFonts w:cs="Times New Roman"/>
                <w:color w:val="000000"/>
                <w:sz w:val="24"/>
                <w:szCs w:val="24"/>
              </w:rPr>
            </w:r>
            <w:r>
              <w:rPr>
                <w:rFonts w:cs="Times New Roman"/>
                <w:color w:val="000000"/>
                <w:sz w:val="24"/>
                <w:szCs w:val="24"/>
              </w:rPr>
            </w:r>
          </w:p>
        </w:tc>
        <w:tc>
          <w:tcPr>
            <w:tcW w:w="1038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2507" w:type="dxa"/>
            <w:vAlign w:val="top"/>
            <w:textDirection w:val="lrTb"/>
            <w:noWrap w:val="false"/>
          </w:tcPr>
          <w:p>
            <w:pPr>
              <w:pStyle w:val="661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6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ind w:firstLine="0"/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Управляющий делами администрации</w:t>
        <w:br w:type="textWrapping" w:clear="all"/>
        <w:t xml:space="preserve">Петровского городского округа   </w:t>
        <w:br w:type="textWrapping" w:clear="all"/>
        <w:t xml:space="preserve">Ставропольского края                                                                                                                                                В.В.Редькин</w:t>
      </w:r>
      <w:r>
        <w:rPr>
          <w:rFonts w:ascii="Times New Roman" w:hAnsi="Times New Roman" w:cs="Times New Roman"/>
          <w:bCs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7"/>
      <w:rPr>
        <w:rStyle w:val="656"/>
      </w:rPr>
      <w:framePr w:wrap="around" w:vAnchor="text" w:hAnchor="margin" w:xAlign="center" w:y="1"/>
    </w:pPr>
    <w:r>
      <w:rPr>
        <w:rStyle w:val="656"/>
      </w:rPr>
      <w:fldChar w:fldCharType="begin"/>
    </w:r>
    <w:r>
      <w:rPr>
        <w:rStyle w:val="656"/>
      </w:rPr>
      <w:instrText xml:space="preserve">PAGE  </w:instrText>
    </w:r>
    <w:r>
      <w:rPr>
        <w:rStyle w:val="656"/>
      </w:rPr>
      <w:fldChar w:fldCharType="end"/>
    </w:r>
    <w:r>
      <w:rPr>
        <w:rStyle w:val="656"/>
      </w:rPr>
    </w:r>
    <w:r>
      <w:rPr>
        <w:rStyle w:val="656"/>
      </w:rPr>
    </w:r>
  </w:p>
  <w:p>
    <w:pPr>
      <w:pStyle w:val="6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1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3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3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97" w:hanging="216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540"/>
      </w:pPr>
      <w:rPr>
        <w:rFonts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340" w:hanging="360"/>
        <w:tabs>
          <w:tab w:val="num" w:pos="1340" w:leader="none"/>
        </w:tabs>
      </w:pPr>
      <w:rPr>
        <w:rFonts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220" w:hanging="360"/>
        <w:tabs>
          <w:tab w:val="num" w:pos="22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  <w:tabs>
          <w:tab w:val="num" w:pos="294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60" w:hanging="360"/>
        <w:tabs>
          <w:tab w:val="num" w:pos="36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80" w:hanging="360"/>
        <w:tabs>
          <w:tab w:val="num" w:pos="43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  <w:tabs>
          <w:tab w:val="num" w:pos="510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820" w:hanging="360"/>
        <w:tabs>
          <w:tab w:val="num" w:pos="582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540" w:hanging="360"/>
        <w:tabs>
          <w:tab w:val="num" w:pos="6540" w:leader="none"/>
        </w:tabs>
      </w:pPr>
    </w:lvl>
  </w:abstractNum>
  <w:abstractNum w:abstractNumId="8">
    <w:multiLevelType w:val="hybridMultilevel"/>
    <w:lvl w:ilvl="0">
      <w:start w:val="1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1"/>
    <w:next w:val="65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5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next w:val="651"/>
    <w:link w:val="651"/>
    <w:qFormat/>
    <w:rPr>
      <w:rFonts w:cs="Arial"/>
      <w:sz w:val="28"/>
      <w:lang w:val="ru-RU" w:eastAsia="ru-RU" w:bidi="ar-SA"/>
    </w:rPr>
  </w:style>
  <w:style w:type="paragraph" w:styleId="652">
    <w:name w:val="Заголовок 1"/>
    <w:basedOn w:val="651"/>
    <w:next w:val="651"/>
    <w:link w:val="651"/>
    <w:qFormat/>
    <w:pPr>
      <w:jc w:val="center"/>
      <w:keepNext/>
      <w:outlineLvl w:val="0"/>
    </w:pPr>
    <w:rPr>
      <w:rFonts w:cs="Times New Roman"/>
      <w:b/>
      <w:bCs/>
      <w:szCs w:val="24"/>
    </w:rPr>
  </w:style>
  <w:style w:type="character" w:styleId="653">
    <w:name w:val="Основной шрифт абзаца"/>
    <w:next w:val="653"/>
    <w:link w:val="651"/>
    <w:semiHidden/>
  </w:style>
  <w:style w:type="table" w:styleId="654">
    <w:name w:val="Обычная таблица"/>
    <w:next w:val="654"/>
    <w:link w:val="651"/>
    <w:semiHidden/>
    <w:tblPr/>
  </w:style>
  <w:style w:type="numbering" w:styleId="655">
    <w:name w:val="Нет списка"/>
    <w:next w:val="655"/>
    <w:link w:val="651"/>
    <w:semiHidden/>
  </w:style>
  <w:style w:type="character" w:styleId="656">
    <w:name w:val="Номер страницы"/>
    <w:basedOn w:val="653"/>
    <w:next w:val="656"/>
    <w:link w:val="651"/>
  </w:style>
  <w:style w:type="paragraph" w:styleId="657">
    <w:name w:val="Верхний колонтитул"/>
    <w:basedOn w:val="651"/>
    <w:next w:val="657"/>
    <w:link w:val="651"/>
    <w:pPr>
      <w:tabs>
        <w:tab w:val="center" w:pos="4677" w:leader="none"/>
        <w:tab w:val="right" w:pos="9355" w:leader="none"/>
      </w:tabs>
    </w:pPr>
    <w:rPr>
      <w:rFonts w:cs="Times New Roman"/>
      <w:szCs w:val="24"/>
    </w:rPr>
  </w:style>
  <w:style w:type="paragraph" w:styleId="658">
    <w:name w:val="Основной текст с отступом 3"/>
    <w:basedOn w:val="651"/>
    <w:next w:val="658"/>
    <w:link w:val="678"/>
    <w:pPr>
      <w:ind w:firstLine="840"/>
      <w:jc w:val="both"/>
    </w:pPr>
    <w:rPr>
      <w:rFonts w:cs="Times New Roman"/>
      <w:szCs w:val="24"/>
      <w:lang w:val="en-US" w:eastAsia="en-US"/>
    </w:rPr>
  </w:style>
  <w:style w:type="paragraph" w:styleId="659">
    <w:name w:val="Основной текст с отступом"/>
    <w:basedOn w:val="651"/>
    <w:next w:val="659"/>
    <w:link w:val="679"/>
    <w:pPr>
      <w:ind w:firstLine="700"/>
      <w:jc w:val="both"/>
    </w:pPr>
    <w:rPr>
      <w:rFonts w:cs="Times New Roman"/>
      <w:szCs w:val="24"/>
      <w:lang w:val="en-US" w:eastAsia="en-US"/>
    </w:rPr>
  </w:style>
  <w:style w:type="paragraph" w:styleId="660">
    <w:name w:val="Основной текст с отступом 2"/>
    <w:basedOn w:val="651"/>
    <w:next w:val="660"/>
    <w:link w:val="651"/>
    <w:pPr>
      <w:ind w:firstLine="700"/>
      <w:jc w:val="both"/>
    </w:pPr>
    <w:rPr>
      <w:rFonts w:cs="Times New Roman"/>
      <w:szCs w:val="24"/>
      <w:u w:val="single"/>
    </w:rPr>
  </w:style>
  <w:style w:type="paragraph" w:styleId="661">
    <w:name w:val="ConsPlusNormal"/>
    <w:next w:val="661"/>
    <w:link w:val="65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62">
    <w:name w:val="Основной текст 2"/>
    <w:basedOn w:val="651"/>
    <w:next w:val="662"/>
    <w:link w:val="669"/>
    <w:pPr>
      <w:spacing w:after="120" w:line="480" w:lineRule="auto"/>
    </w:pPr>
    <w:rPr>
      <w:rFonts w:cs="Times New Roman"/>
      <w:lang w:val="en-US" w:eastAsia="en-US"/>
    </w:rPr>
  </w:style>
  <w:style w:type="character" w:styleId="663">
    <w:name w:val="Гиперссылка"/>
    <w:next w:val="663"/>
    <w:link w:val="651"/>
    <w:rPr>
      <w:color w:val="0000ff"/>
      <w:u w:val="single"/>
    </w:rPr>
  </w:style>
  <w:style w:type="paragraph" w:styleId="664">
    <w:name w:val="Текст сноски"/>
    <w:basedOn w:val="651"/>
    <w:next w:val="664"/>
    <w:link w:val="651"/>
    <w:semiHidden/>
    <w:rPr>
      <w:sz w:val="20"/>
    </w:rPr>
  </w:style>
  <w:style w:type="character" w:styleId="665">
    <w:name w:val="Знак сноски"/>
    <w:next w:val="665"/>
    <w:link w:val="651"/>
    <w:semiHidden/>
    <w:rPr>
      <w:vertAlign w:val="superscript"/>
    </w:rPr>
  </w:style>
  <w:style w:type="paragraph" w:styleId="666">
    <w:name w:val="Нижний колонтитул"/>
    <w:basedOn w:val="651"/>
    <w:next w:val="666"/>
    <w:link w:val="651"/>
    <w:pPr>
      <w:tabs>
        <w:tab w:val="center" w:pos="4677" w:leader="none"/>
        <w:tab w:val="right" w:pos="9355" w:leader="none"/>
      </w:tabs>
    </w:pPr>
  </w:style>
  <w:style w:type="table" w:styleId="667">
    <w:name w:val="Сетка таблицы"/>
    <w:basedOn w:val="654"/>
    <w:next w:val="667"/>
    <w:link w:val="651"/>
    <w:tblPr/>
  </w:style>
  <w:style w:type="paragraph" w:styleId="668">
    <w:name w:val="ConsPlusTitle"/>
    <w:next w:val="668"/>
    <w:link w:val="651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669">
    <w:name w:val="Основной текст 2 Знак"/>
    <w:next w:val="669"/>
    <w:link w:val="662"/>
    <w:rPr>
      <w:rFonts w:cs="Arial"/>
      <w:sz w:val="28"/>
    </w:rPr>
  </w:style>
  <w:style w:type="paragraph" w:styleId="670">
    <w:name w:val="Обычный (веб)"/>
    <w:basedOn w:val="651"/>
    <w:next w:val="670"/>
    <w:link w:val="651"/>
    <w:uiPriority w:val="99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671">
    <w:name w:val="Текст выноски"/>
    <w:basedOn w:val="651"/>
    <w:next w:val="671"/>
    <w:link w:val="651"/>
    <w:semiHidden/>
    <w:rPr>
      <w:rFonts w:ascii="Tahoma" w:hAnsi="Tahoma" w:cs="Tahoma"/>
      <w:sz w:val="16"/>
      <w:szCs w:val="16"/>
    </w:rPr>
  </w:style>
  <w:style w:type="character" w:styleId="672">
    <w:name w:val="Строгий"/>
    <w:next w:val="672"/>
    <w:link w:val="651"/>
    <w:qFormat/>
    <w:rPr>
      <w:b/>
      <w:bCs/>
    </w:rPr>
  </w:style>
  <w:style w:type="character" w:styleId="673">
    <w:name w:val="grame"/>
    <w:basedOn w:val="653"/>
    <w:next w:val="673"/>
    <w:link w:val="651"/>
  </w:style>
  <w:style w:type="paragraph" w:styleId="674">
    <w:name w:val="Знак Знак Знак1 Знак Знак Знак"/>
    <w:basedOn w:val="651"/>
    <w:next w:val="674"/>
    <w:link w:val="651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675">
    <w:name w:val="Текст концевой сноски"/>
    <w:basedOn w:val="651"/>
    <w:next w:val="675"/>
    <w:link w:val="676"/>
    <w:rPr>
      <w:rFonts w:cs="Times New Roman"/>
      <w:sz w:val="20"/>
      <w:lang w:val="en-US" w:eastAsia="en-US"/>
    </w:rPr>
  </w:style>
  <w:style w:type="character" w:styleId="676">
    <w:name w:val="Текст концевой сноски Знак"/>
    <w:next w:val="676"/>
    <w:link w:val="675"/>
    <w:rPr>
      <w:rFonts w:cs="Arial"/>
    </w:rPr>
  </w:style>
  <w:style w:type="character" w:styleId="677">
    <w:name w:val="Знак концевой сноски"/>
    <w:next w:val="677"/>
    <w:link w:val="651"/>
    <w:rPr>
      <w:vertAlign w:val="superscript"/>
    </w:rPr>
  </w:style>
  <w:style w:type="character" w:styleId="678">
    <w:name w:val="Основной текст с отступом 3 Знак"/>
    <w:next w:val="678"/>
    <w:link w:val="658"/>
    <w:rPr>
      <w:sz w:val="28"/>
      <w:szCs w:val="24"/>
    </w:rPr>
  </w:style>
  <w:style w:type="character" w:styleId="679">
    <w:name w:val="Основной текст с отступом Знак"/>
    <w:next w:val="679"/>
    <w:link w:val="659"/>
    <w:rPr>
      <w:sz w:val="28"/>
      <w:szCs w:val="24"/>
    </w:rPr>
  </w:style>
  <w:style w:type="paragraph" w:styleId="680">
    <w:name w:val=" Знак"/>
    <w:basedOn w:val="651"/>
    <w:next w:val="680"/>
    <w:link w:val="651"/>
    <w:rPr>
      <w:rFonts w:ascii="Verdana" w:hAnsi="Verdana" w:cs="Verdana"/>
      <w:sz w:val="20"/>
      <w:lang w:val="en-US" w:eastAsia="en-US"/>
    </w:rPr>
  </w:style>
  <w:style w:type="paragraph" w:styleId="681">
    <w:name w:val="ConsNonformat"/>
    <w:next w:val="681"/>
    <w:link w:val="651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paragraph" w:styleId="682">
    <w:name w:val="Т-1,5"/>
    <w:basedOn w:val="651"/>
    <w:next w:val="682"/>
    <w:link w:val="651"/>
    <w:pPr>
      <w:ind w:firstLine="720"/>
      <w:jc w:val="both"/>
      <w:spacing w:line="360" w:lineRule="auto"/>
    </w:pPr>
    <w:rPr>
      <w:rFonts w:cs="Times New Roman"/>
    </w:rPr>
  </w:style>
  <w:style w:type="paragraph" w:styleId="683">
    <w:name w:val="Название"/>
    <w:basedOn w:val="651"/>
    <w:next w:val="683"/>
    <w:link w:val="684"/>
    <w:qFormat/>
    <w:pPr>
      <w:jc w:val="center"/>
    </w:pPr>
    <w:rPr>
      <w:rFonts w:cs="Times New Roman"/>
      <w:b/>
      <w:bCs/>
      <w:sz w:val="32"/>
      <w:szCs w:val="24"/>
      <w:lang w:val="en-US" w:eastAsia="en-US"/>
    </w:rPr>
  </w:style>
  <w:style w:type="character" w:styleId="684">
    <w:name w:val="Название Знак"/>
    <w:next w:val="684"/>
    <w:link w:val="683"/>
    <w:rPr>
      <w:b/>
      <w:bCs/>
      <w:sz w:val="32"/>
      <w:szCs w:val="24"/>
    </w:rPr>
  </w:style>
  <w:style w:type="paragraph" w:styleId="685">
    <w:name w:val="ConsNormal"/>
    <w:next w:val="685"/>
    <w:link w:val="651"/>
    <w:uiPriority w:val="99"/>
    <w:pPr>
      <w:ind w:right="19772" w:firstLine="720"/>
      <w:jc w:val="both"/>
      <w:widowControl w:val="off"/>
    </w:pPr>
    <w:rPr>
      <w:rFonts w:ascii="Arial" w:hAnsi="Arial" w:cs="Arial"/>
      <w:lang w:val="ru-RU" w:eastAsia="ru-RU" w:bidi="ar-SA"/>
    </w:rPr>
  </w:style>
  <w:style w:type="paragraph" w:styleId="686">
    <w:name w:val="ConsTitle"/>
    <w:next w:val="686"/>
    <w:link w:val="651"/>
    <w:uiPriority w:val="99"/>
    <w:pPr>
      <w:ind w:right="19772"/>
      <w:jc w:val="both"/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687">
    <w:name w:val="ConsPlusCell"/>
    <w:next w:val="687"/>
    <w:link w:val="651"/>
    <w:pPr>
      <w:widowControl w:val="off"/>
    </w:pPr>
    <w:rPr>
      <w:rFonts w:ascii="Arial" w:hAnsi="Arial" w:cs="Arial"/>
      <w:lang w:val="ru-RU" w:eastAsia="ru-RU" w:bidi="ar-SA"/>
    </w:rPr>
  </w:style>
  <w:style w:type="character" w:styleId="4071" w:default="1">
    <w:name w:val="Default Paragraph Font"/>
    <w:uiPriority w:val="1"/>
    <w:semiHidden/>
    <w:unhideWhenUsed/>
  </w:style>
  <w:style w:type="numbering" w:styleId="4072" w:default="1">
    <w:name w:val="No List"/>
    <w:uiPriority w:val="99"/>
    <w:semiHidden/>
    <w:unhideWhenUsed/>
  </w:style>
  <w:style w:type="table" w:styleId="40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Комитет архивов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revision>3</cp:revision>
  <dcterms:created xsi:type="dcterms:W3CDTF">2019-03-18T06:52:00Z</dcterms:created>
  <dcterms:modified xsi:type="dcterms:W3CDTF">2024-03-20T08:42:05Z</dcterms:modified>
  <cp:version>786432</cp:version>
</cp:coreProperties>
</file>