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spacing w:after="0" w:line="240" w:lineRule="auto"/>
        <w:tabs>
          <w:tab w:val="center" w:pos="4676" w:leader="none"/>
          <w:tab w:val="left" w:pos="8001" w:leader="none"/>
        </w:tabs>
        <w:rPr>
          <w:rFonts w:ascii="Times New Roman" w:hAnsi="Times New Roman" w:eastAsia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 w:eastAsia="Times New Roman"/>
          <w:b/>
          <w:bCs/>
          <w:sz w:val="32"/>
          <w:szCs w:val="32"/>
          <w:lang w:eastAsia="ru-RU"/>
        </w:rPr>
        <w:t xml:space="preserve">П О С Т А Н О В Л Е Н И Е</w:t>
      </w:r>
      <w:r>
        <w:rPr>
          <w:rFonts w:ascii="Times New Roman" w:hAnsi="Times New Roman" w:eastAsia="Times New Roman"/>
          <w:b/>
          <w:bCs/>
          <w:sz w:val="32"/>
          <w:szCs w:val="32"/>
          <w:lang w:eastAsia="ru-RU"/>
        </w:rPr>
        <w:tab/>
      </w:r>
      <w:r>
        <w:rPr>
          <w:rFonts w:ascii="Times New Roman" w:hAnsi="Times New Roman" w:eastAsia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/>
          <w:b/>
          <w:bCs/>
          <w:sz w:val="32"/>
          <w:szCs w:val="32"/>
          <w:lang w:eastAsia="ru-RU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АДМИНИСТРАЦИИ ПЕТРОВСКОГО ГОРОДСКОГО ОКРУГА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СТАВРОПОЛЬСКОГО КРАЯ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10 апреля 2019 г.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 Светлоград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18"/>
              <w:jc w:val="right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№ 858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</w:p>
        </w:tc>
      </w:tr>
    </w:tbl>
    <w:p>
      <w:pPr>
        <w:pStyle w:val="61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/>
      <w:bookmarkStart w:id="0" w:name="_Hlk535841181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мерах по реализации отдельных положений Федерального закона от 21.07.2005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115-ФЗ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концессионных соглашениях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Петровского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городского округа Ставропольского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соответствии с Федеральным законом от 21.07.2005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115-ФЗ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концессионных соглашениях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ешение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овета депутатов Петровского городского округа Ставропольского края от 26.12.2017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утверждении Положения о порядке управления и распоряжения имуществом, находящимся в муниципальной собственности Петровского городского округа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тавропольского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в целях повышения эффективности организации взаимодействия органов местного самоуправления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Петровского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городского округа Ставропольского края, индивидуальных предпринимателей, российских или иностранных юридических лиц либо дей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подготовке, заключении, исполнении, изменении и прекращении концессионных соглашений на территории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Петровского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городского округа Ставропольского края, администрация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Петровского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городского округа Ставропольского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Определить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стратегического планирования и инвестиций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Петровского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городского округа Ставропольского края органом, уполномоченным на рассмотрение предложений лиц, выступивших с инициативой заключения концессионного соглашения, поступившего в соответствии 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4.2 статьи 37 Федерального закона от 21.07.2005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115-ФЗ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концессионных соглашениях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Утвердить прилагаемые: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взаимодействия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отделов и органов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Петровского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городского округа Ставропольского края на этапе разработки, рассмотрения, принятия решения о заключении концессионного соглашения, инициатором которого является администраци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Петровского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городского округа Ставропольского края.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2.2. Порядок рассмотрения предложений лиц, выступивших с инициативой заключения концессионного соглашения.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2.3. Порядок формирования и утверждения перечня объектов, в отношении которых планируется заключение концессионных соглашений.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Настоящее постановлению вступает в силу со дня его опубликования в газете «Вестник Петровского городского округа».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А.А.Захарченко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59"/>
        <w:jc w:val="both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59"/>
        <w:jc w:val="both"/>
        <w:spacing w:after="0" w:line="240" w:lineRule="exact"/>
        <w:rPr>
          <w:rFonts w:ascii="Times New Roman" w:hAnsi="Times New Roman" w:eastAsia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ffff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ffffff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8"/>
        <w:gridCol w:w="45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Утвержден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постановлением администрации Петровского городского округа Ставропольского края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10 апреля 2019 г. № 858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18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both"/>
        <w:spacing w:after="0" w:line="240" w:lineRule="exact"/>
        <w:tabs>
          <w:tab w:val="left" w:pos="921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взаимодействия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отделов и органов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Петровского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городского округа Ставропольского края на этапе разработки, рассмотрения, принятия решения о заключении концессионного соглашения, инициатором которого является администраци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Петровского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Ставропольского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921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921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1" w:name="Par30"/>
      <w:r/>
      <w:bookmarkEnd w:id="1"/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6 ст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78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Федеральным законом </w:t>
      </w:r>
      <w:bookmarkStart w:id="2" w:name="_Hlk531781336"/>
      <w:r>
        <w:rPr>
          <w:rFonts w:ascii="Times New Roman" w:hAnsi="Times New Roman"/>
          <w:sz w:val="28"/>
          <w:szCs w:val="28"/>
        </w:rPr>
        <w:t xml:space="preserve">от 21.07.2005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115-ФЗ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концессионных соглашениях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(далее - Федеральный закон)</w:t>
      </w:r>
      <w:bookmarkEnd w:id="2"/>
      <w:r>
        <w:rPr>
          <w:rFonts w:ascii="Times New Roman" w:hAnsi="Times New Roman"/>
          <w:sz w:val="28"/>
          <w:szCs w:val="28"/>
        </w:rPr>
        <w:t xml:space="preserve">, и регулирует взаимодействие </w:t>
      </w:r>
      <w:r>
        <w:rPr>
          <w:rFonts w:ascii="Times New Roman" w:hAnsi="Times New Roman"/>
          <w:sz w:val="28"/>
          <w:szCs w:val="28"/>
        </w:rPr>
        <w:t xml:space="preserve">отделов и органов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(далее - отделов и органов администрации, администрация) </w:t>
      </w:r>
      <w:r>
        <w:rPr>
          <w:rFonts w:ascii="Times New Roman" w:hAnsi="Times New Roman"/>
          <w:sz w:val="28"/>
          <w:szCs w:val="28"/>
        </w:rPr>
        <w:t xml:space="preserve">на этапе разработки, рассмотрения и принятия решений о заключении </w:t>
      </w:r>
      <w:r>
        <w:rPr>
          <w:rFonts w:ascii="Times New Roman" w:hAnsi="Times New Roman"/>
          <w:sz w:val="28"/>
          <w:szCs w:val="28"/>
        </w:rPr>
        <w:t xml:space="preserve">Петровским</w:t>
      </w:r>
      <w:r>
        <w:rPr>
          <w:rFonts w:ascii="Times New Roman" w:hAnsi="Times New Roman"/>
          <w:sz w:val="28"/>
          <w:szCs w:val="28"/>
        </w:rPr>
        <w:t xml:space="preserve"> городским округом Ставропольского края концессионных соглашений (в том числе на срок, превышающий срок действия утвержденных лимитов бюджетных обязательств), инициатор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которых явля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тся.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Решение о заключении концессионного соглашения принимается администрацией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согласованию с Советом депутатов Петровского городского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</w:t>
      </w:r>
      <w:r>
        <w:rPr>
          <w:rFonts w:ascii="Times New Roman" w:hAnsi="Times New Roman"/>
          <w:sz w:val="28"/>
          <w:szCs w:val="28"/>
        </w:rPr>
        <w:t xml:space="preserve">Петровскому</w:t>
      </w:r>
      <w:r>
        <w:rPr>
          <w:rFonts w:ascii="Times New Roman" w:hAnsi="Times New Roman"/>
          <w:sz w:val="28"/>
          <w:szCs w:val="28"/>
        </w:rPr>
        <w:t xml:space="preserve"> городскому округу Ставропольского края (далее - объект концессионного соглашения).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Отдел или орган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обеспечивающий проведение на территории округа государственной политики и осуществляющий управление в соответствующей сфере деятельности,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которой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планируется реализация концессионного соглашения (далее - инициатор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проекта)</w:t>
      </w:r>
      <w:r>
        <w:rPr>
          <w:rFonts w:ascii="Times New Roman" w:hAnsi="Times New Roman"/>
          <w:sz w:val="28"/>
          <w:szCs w:val="28"/>
        </w:rPr>
        <w:t xml:space="preserve">, обеспечивает разработку предложения о создании и (или) реконструировании имущества в рамках концессионного соглашения (далее -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редложение), в том числе подготовку проекта концессионного соглашения, и направляет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редложения на рассмотрение: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отдел стратегического планирования и инвестиций администрации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- отдел 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и инвестиций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для оценки возможности и целесообразности реализации предложения;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отдел имущественных и земельных отношений администрации Петровского городского округа Ставропольского </w:t>
      </w:r>
      <w:r>
        <w:rPr>
          <w:rFonts w:ascii="Times New Roman" w:hAnsi="Times New Roman"/>
          <w:sz w:val="28"/>
          <w:szCs w:val="28"/>
        </w:rPr>
        <w:t xml:space="preserve">края </w:t>
      </w:r>
      <w:bookmarkStart w:id="3" w:name="_Hlk531767951"/>
      <w:r>
        <w:rPr>
          <w:rFonts w:ascii="Times New Roman" w:hAnsi="Times New Roman"/>
          <w:sz w:val="28"/>
          <w:szCs w:val="28"/>
        </w:rPr>
        <w:t xml:space="preserve">(отдел имущественных и земельных отношений) </w:t>
      </w:r>
      <w:r>
        <w:rPr>
          <w:rFonts w:ascii="Times New Roman" w:hAnsi="Times New Roman"/>
          <w:sz w:val="28"/>
          <w:szCs w:val="28"/>
        </w:rPr>
        <w:t xml:space="preserve">для предоставления сведений о земельных участках,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- муниципальной собственности округа)</w:t>
      </w:r>
      <w:r>
        <w:rPr>
          <w:rFonts w:ascii="Times New Roman" w:hAnsi="Times New Roman"/>
          <w:sz w:val="28"/>
          <w:szCs w:val="28"/>
        </w:rPr>
        <w:t xml:space="preserve">, необходимых для реализации концессионного соглашения</w:t>
      </w:r>
      <w:bookmarkEnd w:id="3"/>
      <w:r>
        <w:rPr>
          <w:rFonts w:ascii="Times New Roman" w:hAnsi="Times New Roman"/>
          <w:sz w:val="28"/>
          <w:szCs w:val="28"/>
        </w:rPr>
        <w:t xml:space="preserve">, об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объектах недвижимого имущества, необходимых при реализации концессионного соглашения, из реестра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отдел планирования территории и землеустройства администрации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- отдел планирования территорий и землеустройства)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предоставления сведений о земельных участках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расположенных </w:t>
      </w:r>
      <w:r>
        <w:rPr>
          <w:rFonts w:ascii="Times New Roman" w:hAnsi="Times New Roman" w:eastAsia="Times New Roman"/>
          <w:iCs/>
          <w:color w:val="000000"/>
          <w:spacing w:val="-2"/>
          <w:sz w:val="28"/>
          <w:szCs w:val="28"/>
          <w:lang w:eastAsia="ru-RU"/>
        </w:rPr>
        <w:t xml:space="preserve">в границах земель населенных пунктов, </w:t>
      </w:r>
      <w:r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 округа и </w:t>
      </w:r>
      <w:r>
        <w:rPr>
          <w:rFonts w:ascii="Times New Roman" w:hAnsi="Times New Roman"/>
          <w:sz w:val="28"/>
          <w:szCs w:val="28"/>
        </w:rPr>
        <w:t xml:space="preserve">необходимых для реализации концессионного соглашения</w:t>
      </w:r>
      <w:r>
        <w:rPr>
          <w:rFonts w:ascii="Times New Roman" w:hAnsi="Times New Roman"/>
          <w:sz w:val="28"/>
          <w:szCs w:val="28"/>
        </w:rPr>
        <w:t xml:space="preserve">, и для оценки </w:t>
      </w:r>
      <w:r>
        <w:rPr>
          <w:rFonts w:ascii="Times New Roman" w:hAnsi="Times New Roman" w:eastAsia="Times New Roman"/>
          <w:iCs/>
          <w:color w:val="000000"/>
          <w:spacing w:val="-2"/>
          <w:sz w:val="28"/>
          <w:szCs w:val="28"/>
          <w:lang w:eastAsia="ru-RU"/>
        </w:rPr>
        <w:t xml:space="preserve">соблюдени</w:t>
      </w:r>
      <w:r>
        <w:rPr>
          <w:rFonts w:ascii="Times New Roman" w:hAnsi="Times New Roman" w:eastAsia="Times New Roman"/>
          <w:iCs/>
          <w:color w:val="000000"/>
          <w:spacing w:val="-2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iCs/>
          <w:color w:val="000000"/>
          <w:spacing w:val="-2"/>
          <w:sz w:val="28"/>
          <w:szCs w:val="28"/>
          <w:lang w:eastAsia="ru-RU"/>
        </w:rPr>
        <w:t xml:space="preserve"> действующего законодательства о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в сфере реализации концессионного соглашения.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5. </w:t>
      </w:r>
      <w:r>
        <w:rPr>
          <w:rFonts w:ascii="Times New Roman" w:hAnsi="Times New Roman"/>
          <w:sz w:val="28"/>
          <w:szCs w:val="32"/>
        </w:rPr>
        <w:t xml:space="preserve">При направлении инициатором проекта </w:t>
      </w:r>
      <w:r>
        <w:rPr>
          <w:rFonts w:ascii="Times New Roman" w:hAnsi="Times New Roman"/>
          <w:sz w:val="28"/>
          <w:szCs w:val="32"/>
        </w:rPr>
        <w:t xml:space="preserve">п</w:t>
      </w:r>
      <w:r>
        <w:rPr>
          <w:rFonts w:ascii="Times New Roman" w:hAnsi="Times New Roman"/>
          <w:sz w:val="28"/>
          <w:szCs w:val="32"/>
        </w:rPr>
        <w:t xml:space="preserve">редложения в </w:t>
      </w:r>
      <w:r>
        <w:rPr>
          <w:rFonts w:ascii="Times New Roman" w:hAnsi="Times New Roman"/>
          <w:sz w:val="28"/>
          <w:szCs w:val="32"/>
        </w:rPr>
        <w:t xml:space="preserve">отдел стратегического планирования</w:t>
      </w:r>
      <w:r>
        <w:rPr>
          <w:rFonts w:ascii="Times New Roman" w:hAnsi="Times New Roman"/>
          <w:sz w:val="28"/>
          <w:szCs w:val="32"/>
        </w:rPr>
        <w:t xml:space="preserve"> к нему прилагается технико-экономическое обоснование проекта, включающее в себя:</w:t>
      </w:r>
      <w:r>
        <w:rPr>
          <w:rFonts w:ascii="Times New Roman" w:hAnsi="Times New Roman"/>
          <w:sz w:val="28"/>
          <w:szCs w:val="32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1) предполагаемый объем инвестиций в создание и (или) реконструкцию объекта концессионного соглашения;</w:t>
      </w:r>
      <w:r>
        <w:rPr>
          <w:rFonts w:ascii="Times New Roman" w:hAnsi="Times New Roman"/>
          <w:sz w:val="28"/>
          <w:szCs w:val="32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2) срок концессионного соглашения, в том числе срок окупаемости предполагаемых инвестиций;</w:t>
      </w:r>
      <w:r>
        <w:rPr>
          <w:rFonts w:ascii="Times New Roman" w:hAnsi="Times New Roman"/>
          <w:sz w:val="28"/>
          <w:szCs w:val="32"/>
        </w:rPr>
      </w:r>
    </w:p>
    <w:p>
      <w:pPr>
        <w:pStyle w:val="618"/>
        <w:ind w:firstLine="709"/>
        <w:jc w:val="both"/>
        <w:spacing w:after="0" w:line="240" w:lineRule="auto"/>
        <w:rPr>
          <w:rFonts w:cs="Calibri"/>
        </w:rPr>
      </w:pPr>
      <w:r>
        <w:rPr>
          <w:rFonts w:ascii="Times New Roman" w:hAnsi="Times New Roman"/>
          <w:sz w:val="28"/>
          <w:szCs w:val="32"/>
        </w:rPr>
        <w:t xml:space="preserve">3) объем производства товаров, выполнения работ, оказания услуг 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</w:t>
      </w:r>
      <w:r>
        <w:rPr>
          <w:rFonts w:cs="Calibri"/>
        </w:rPr>
        <w:t xml:space="preserve">.</w:t>
      </w:r>
      <w:r>
        <w:rPr>
          <w:rFonts w:cs="Calibri"/>
        </w:rPr>
      </w:r>
      <w:r>
        <w:rPr>
          <w:rFonts w:cs="Calibri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и инвестиций </w:t>
      </w:r>
      <w:r>
        <w:rPr>
          <w:rFonts w:ascii="Times New Roman" w:hAnsi="Times New Roman"/>
          <w:sz w:val="28"/>
          <w:szCs w:val="28"/>
        </w:rPr>
        <w:t xml:space="preserve">в течение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>
        <w:rPr>
          <w:rFonts w:ascii="Times New Roman" w:hAnsi="Times New Roman"/>
          <w:sz w:val="28"/>
          <w:szCs w:val="28"/>
        </w:rPr>
        <w:t xml:space="preserve">дней со дня получения предложения с технико-экономическим обоснованием проекта направляет </w:t>
      </w:r>
      <w:r>
        <w:rPr>
          <w:rFonts w:ascii="Times New Roman" w:hAnsi="Times New Roman"/>
          <w:sz w:val="28"/>
          <w:szCs w:val="28"/>
        </w:rPr>
        <w:t xml:space="preserve">его в отделы и органы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, осуществляющи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управление в </w:t>
      </w:r>
      <w:r>
        <w:rPr>
          <w:rFonts w:ascii="Times New Roman" w:hAnsi="Times New Roman"/>
          <w:sz w:val="28"/>
          <w:szCs w:val="28"/>
        </w:rPr>
        <w:t xml:space="preserve">сферах, </w:t>
      </w:r>
      <w:r>
        <w:rPr>
          <w:rFonts w:ascii="Times New Roman" w:hAnsi="Times New Roman"/>
          <w:sz w:val="28"/>
          <w:szCs w:val="28"/>
        </w:rPr>
        <w:t xml:space="preserve">смежных со сферой деятельности, в которой планируется реализация концессионного соглашения, для оценки целесообразности реализации концессионного соглашения.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</w:t>
      </w:r>
      <w:bookmarkStart w:id="4" w:name="Par50"/>
      <w:r/>
      <w:bookmarkEnd w:id="4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 имущественных и земельных отношений</w:t>
      </w:r>
      <w:r>
        <w:rPr>
          <w:rFonts w:ascii="Times New Roman" w:hAnsi="Times New Roman"/>
          <w:sz w:val="28"/>
          <w:szCs w:val="28"/>
        </w:rPr>
        <w:t xml:space="preserve"> в срок, не превышающий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рабочих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дней со дня получения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редложения, направляет в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и инициатору проек</w:t>
      </w:r>
      <w:r>
        <w:rPr>
          <w:rFonts w:ascii="Times New Roman" w:hAnsi="Times New Roman"/>
          <w:sz w:val="28"/>
          <w:szCs w:val="28"/>
        </w:rPr>
        <w:t xml:space="preserve">та сведения о земельных участках, находящихся в муниципальной собственности, необходимых для реализации концессионного соглашения, об объектах недвижимого имущества, необходимых при реализации концессионного соглашения, из реестра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Отдел планирования территорий и землеустройства</w:t>
      </w:r>
      <w:r>
        <w:rPr>
          <w:rFonts w:ascii="Times New Roman" w:hAnsi="Times New Roman"/>
          <w:sz w:val="28"/>
          <w:szCs w:val="28"/>
        </w:rPr>
        <w:t xml:space="preserve"> в срок, не превышающий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рабочих</w:t>
      </w:r>
      <w:r>
        <w:rPr>
          <w:rFonts w:ascii="Times New Roman" w:hAnsi="Times New Roman"/>
          <w:sz w:val="28"/>
          <w:szCs w:val="28"/>
        </w:rPr>
        <w:t xml:space="preserve"> дней со дня получения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редложения, направляет в отдел стратегического планирования и инициатору проекта сведения </w:t>
      </w:r>
      <w:r>
        <w:rPr>
          <w:rFonts w:ascii="Times New Roman" w:hAnsi="Times New Roman"/>
          <w:sz w:val="28"/>
          <w:szCs w:val="28"/>
        </w:rPr>
        <w:t xml:space="preserve">о земельных участках</w:t>
      </w:r>
      <w:r>
        <w:rPr>
          <w:rFonts w:ascii="Times New Roman" w:hAnsi="Times New Roman"/>
          <w:sz w:val="28"/>
          <w:szCs w:val="28"/>
        </w:rPr>
        <w:t xml:space="preserve">, 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iCs/>
          <w:color w:val="000000"/>
          <w:spacing w:val="-2"/>
          <w:sz w:val="28"/>
          <w:szCs w:val="28"/>
          <w:lang w:eastAsia="ru-RU"/>
        </w:rPr>
        <w:t xml:space="preserve">в границах земель населенных пунктов, </w:t>
      </w:r>
      <w:r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необходимых для реализации концессионного соглашения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о соответствии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редложения </w:t>
      </w:r>
      <w:r>
        <w:rPr>
          <w:rFonts w:ascii="Times New Roman" w:hAnsi="Times New Roman" w:eastAsia="Times New Roman"/>
          <w:iCs/>
          <w:color w:val="000000"/>
          <w:spacing w:val="-2"/>
          <w:sz w:val="28"/>
          <w:szCs w:val="28"/>
          <w:lang w:eastAsia="ru-RU"/>
        </w:rPr>
        <w:t xml:space="preserve">действующ</w:t>
      </w:r>
      <w:r>
        <w:rPr>
          <w:rFonts w:ascii="Times New Roman" w:hAnsi="Times New Roman" w:eastAsia="Times New Roman"/>
          <w:iCs/>
          <w:color w:val="000000"/>
          <w:spacing w:val="-2"/>
          <w:sz w:val="28"/>
          <w:szCs w:val="28"/>
          <w:lang w:eastAsia="ru-RU"/>
        </w:rPr>
        <w:t xml:space="preserve">ему</w:t>
      </w:r>
      <w:r>
        <w:rPr>
          <w:rFonts w:ascii="Times New Roman" w:hAnsi="Times New Roman" w:eastAsia="Times New Roman"/>
          <w:iCs/>
          <w:color w:val="000000"/>
          <w:spacing w:val="-2"/>
          <w:sz w:val="28"/>
          <w:szCs w:val="28"/>
          <w:lang w:eastAsia="ru-RU"/>
        </w:rPr>
        <w:t xml:space="preserve"> законодательств</w:t>
      </w:r>
      <w:r>
        <w:rPr>
          <w:rFonts w:ascii="Times New Roman" w:hAnsi="Times New Roman" w:eastAsia="Times New Roman"/>
          <w:iCs/>
          <w:color w:val="000000"/>
          <w:spacing w:val="-2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iCs/>
          <w:color w:val="000000"/>
          <w:spacing w:val="-2"/>
          <w:sz w:val="28"/>
          <w:szCs w:val="28"/>
          <w:lang w:eastAsia="ru-RU"/>
        </w:rPr>
        <w:t xml:space="preserve"> о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в сфере реализации концессионного соглашения.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Отделы и органы администрации</w:t>
      </w:r>
      <w:r>
        <w:rPr>
          <w:rFonts w:ascii="Times New Roman" w:hAnsi="Times New Roman"/>
          <w:sz w:val="28"/>
          <w:szCs w:val="28"/>
        </w:rPr>
        <w:t xml:space="preserve">, осуществляющи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управление в </w:t>
      </w:r>
      <w:r>
        <w:rPr>
          <w:rFonts w:ascii="Times New Roman" w:hAnsi="Times New Roman"/>
          <w:sz w:val="28"/>
          <w:szCs w:val="28"/>
        </w:rPr>
        <w:t xml:space="preserve">сферах, </w:t>
      </w:r>
      <w:r>
        <w:rPr>
          <w:rFonts w:ascii="Times New Roman" w:hAnsi="Times New Roman"/>
          <w:sz w:val="28"/>
          <w:szCs w:val="28"/>
        </w:rPr>
        <w:t xml:space="preserve">смежных со сферой деятельности, в которой планируется реализация концессионного соглашения</w:t>
      </w:r>
      <w:r>
        <w:rPr>
          <w:rFonts w:ascii="Times New Roman" w:hAnsi="Times New Roman"/>
          <w:sz w:val="28"/>
          <w:szCs w:val="28"/>
        </w:rPr>
        <w:t xml:space="preserve">, в течение </w:t>
      </w:r>
      <w:bookmarkStart w:id="5" w:name="_Hlk531784720"/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 xml:space="preserve">дней со дня получения </w:t>
      </w:r>
      <w:bookmarkEnd w:id="5"/>
      <w:r>
        <w:rPr>
          <w:rFonts w:ascii="Times New Roman" w:hAnsi="Times New Roman"/>
          <w:sz w:val="28"/>
          <w:szCs w:val="28"/>
        </w:rPr>
        <w:t xml:space="preserve">технико-экономического обоснования проекта готовят </w:t>
      </w:r>
      <w:bookmarkStart w:id="6" w:name="_Hlk531784531"/>
      <w:r>
        <w:rPr>
          <w:rFonts w:ascii="Times New Roman" w:hAnsi="Times New Roman"/>
          <w:sz w:val="28"/>
          <w:szCs w:val="28"/>
        </w:rPr>
        <w:t xml:space="preserve">заключение о возможности и целесообразности реализации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редложения и направляют его в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6"/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течение </w:t>
      </w:r>
      <w:bookmarkStart w:id="7" w:name="_Hlk531784856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рабочих дней со дня поступления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документов, указанных 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7 - </w:t>
      </w:r>
      <w:r>
        <w:fldChar w:fldCharType="begin"/>
      </w:r>
      <w:r>
        <w:instrText xml:space="preserve">HYPERLINK \l "Par51"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9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редложение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приложением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вышеуказанных документов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рассмотрение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овета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 улучшению инвестиционного климата в Петровском городском округе Ставропольского края (далее 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нвестиционный совет)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Инвестиционный совет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30</w:t>
      </w:r>
      <w:r>
        <w:rPr>
          <w:rFonts w:ascii="Times New Roman" w:hAnsi="Times New Roman"/>
          <w:sz w:val="28"/>
          <w:szCs w:val="28"/>
        </w:rPr>
        <w:t xml:space="preserve">календарных</w:t>
      </w:r>
      <w:r>
        <w:rPr>
          <w:rFonts w:ascii="Times New Roman" w:hAnsi="Times New Roman"/>
          <w:sz w:val="28"/>
          <w:szCs w:val="28"/>
        </w:rPr>
        <w:t xml:space="preserve">дней со дня получения вышеуказанных документов </w:t>
      </w:r>
      <w:r>
        <w:rPr>
          <w:rFonts w:ascii="Times New Roman" w:hAnsi="Times New Roman"/>
          <w:sz w:val="28"/>
          <w:szCs w:val="28"/>
        </w:rPr>
        <w:t xml:space="preserve">принимает решение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возможности заключения концессионного соглашения на представленных 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редложении о заключении концессионного соглашения условиях;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возможности заключения концессионного соглашения на иных условиях;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невозможности заключения концессионного соглашения с указанием основания отказа.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/>
      <w:bookmarkEnd w:id="7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Копия решения инвестиционного совета о возможности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(невозможности)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заключения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концессионного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соглашения направляется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инициатору проекта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течение 3 рабочих дней со дня принятия решения инвестиционным советом.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bookmarkStart w:id="8" w:name="_Hlk531788072"/>
      <w:r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принятия инвестиционным советом решения о возможности заключения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концессионного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соглашения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инициатор проекта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направляет проект концессионного соглашения </w:t>
      </w:r>
      <w:r>
        <w:rPr>
          <w:rFonts w:ascii="Times New Roman" w:hAnsi="Times New Roman"/>
          <w:sz w:val="28"/>
          <w:szCs w:val="28"/>
        </w:rPr>
        <w:t xml:space="preserve">на согласование в Совет депутатов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В случае принятия Советом </w:t>
      </w:r>
      <w:r>
        <w:rPr>
          <w:rFonts w:ascii="Times New Roman" w:hAnsi="Times New Roman"/>
          <w:sz w:val="28"/>
          <w:szCs w:val="28"/>
        </w:rPr>
        <w:t xml:space="preserve">депутатов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решения о согласовании проекта концессионного 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инициатор проекта</w:t>
      </w:r>
      <w:r>
        <w:rPr>
          <w:rFonts w:ascii="Times New Roman" w:hAnsi="Times New Roman"/>
          <w:sz w:val="28"/>
          <w:szCs w:val="28"/>
        </w:rPr>
        <w:t xml:space="preserve"> осуществляет подготовку проекта </w:t>
      </w:r>
      <w:r>
        <w:rPr>
          <w:rFonts w:ascii="Times New Roman" w:hAnsi="Times New Roman"/>
          <w:sz w:val="28"/>
          <w:szCs w:val="28"/>
        </w:rPr>
        <w:t xml:space="preserve">правового акта администрации </w:t>
      </w:r>
      <w:r>
        <w:rPr>
          <w:rFonts w:ascii="Times New Roman" w:hAnsi="Times New Roman"/>
          <w:sz w:val="28"/>
          <w:szCs w:val="28"/>
        </w:rPr>
        <w:t xml:space="preserve">о заключении концессионного соглашения, предусмотренного ст. 22 Федерального закона.</w:t>
      </w:r>
      <w:bookmarkEnd w:id="8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концессионного соглашения осуществляется инициатором проекта в соответствии </w:t>
      </w:r>
      <w:r>
        <w:rPr>
          <w:rFonts w:ascii="Times New Roman" w:hAnsi="Times New Roman"/>
          <w:sz w:val="28"/>
          <w:szCs w:val="28"/>
        </w:rPr>
        <w:t xml:space="preserve">со ст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ониторинг заключения и реализации заключенных концессионных соглашений, </w:t>
      </w:r>
      <w:r>
        <w:rPr>
          <w:rFonts w:ascii="Times New Roman" w:hAnsi="Times New Roman"/>
          <w:sz w:val="28"/>
          <w:szCs w:val="28"/>
        </w:rPr>
        <w:t xml:space="preserve">проводится федеральным органом исполнительной власти, уполномоченным на осуществление мониторинга </w:t>
      </w:r>
      <w:r>
        <w:rPr>
          <w:rFonts w:ascii="Times New Roman" w:hAnsi="Times New Roman"/>
          <w:sz w:val="28"/>
          <w:szCs w:val="28"/>
        </w:rPr>
        <w:t xml:space="preserve">в п</w:t>
      </w:r>
      <w:r>
        <w:rPr>
          <w:rFonts w:ascii="Times New Roman" w:hAnsi="Times New Roman"/>
          <w:sz w:val="28"/>
          <w:szCs w:val="28"/>
        </w:rPr>
        <w:t xml:space="preserve">орядк</w:t>
      </w:r>
      <w:r>
        <w:rPr>
          <w:rFonts w:ascii="Times New Roman" w:hAnsi="Times New Roman"/>
          <w:sz w:val="28"/>
          <w:szCs w:val="28"/>
        </w:rPr>
        <w:t xml:space="preserve">е,</w:t>
      </w:r>
      <w:r>
        <w:rPr>
          <w:rFonts w:ascii="Times New Roman" w:hAnsi="Times New Roman"/>
          <w:sz w:val="28"/>
          <w:szCs w:val="28"/>
        </w:rPr>
        <w:t xml:space="preserve"> утверждае</w:t>
      </w:r>
      <w:r>
        <w:rPr>
          <w:rFonts w:ascii="Times New Roman" w:hAnsi="Times New Roman"/>
          <w:sz w:val="28"/>
          <w:szCs w:val="28"/>
        </w:rPr>
        <w:t xml:space="preserve">мом </w:t>
      </w:r>
      <w:r>
        <w:rPr>
          <w:rFonts w:ascii="Times New Roman" w:hAnsi="Times New Roman"/>
          <w:sz w:val="28"/>
          <w:szCs w:val="28"/>
        </w:rPr>
        <w:t xml:space="preserve">Правительством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Подготовка, заключение, исполнение</w:t>
      </w:r>
      <w:r>
        <w:rPr>
          <w:rFonts w:ascii="Times New Roman" w:hAnsi="Times New Roman"/>
          <w:sz w:val="28"/>
          <w:szCs w:val="28"/>
        </w:rPr>
        <w:t xml:space="preserve">, изменение и прекращения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осуществляется в порядке, определенном гл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 Федерального закона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right="-2"/>
        <w:spacing w:after="0" w:line="240" w:lineRule="exact"/>
        <w:tabs>
          <w:tab w:val="left" w:pos="921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Управляющий делами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921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Петровского городского округа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Ставропольского края                </w:t>
        <w:tab/>
        <w:tab/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В.В.Редькин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8"/>
        <w:gridCol w:w="45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Утвержден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постановлением администрации Петровского городского округа Ставропольского края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10 апреля 2019 г. № 858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предложений лиц, выступающих с инициативой заключения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концессионного соглашения</w:t>
      </w:r>
      <w:bookmarkStart w:id="9" w:name="Par80"/>
      <w:r/>
      <w:bookmarkEnd w:id="9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jc w:val="center"/>
        <w:spacing w:after="0" w:line="240" w:lineRule="exact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</w:p>
    <w:p>
      <w:pPr>
        <w:pStyle w:val="618"/>
        <w:jc w:val="center"/>
        <w:spacing w:after="0" w:line="240" w:lineRule="exact"/>
        <w:rPr>
          <w:rFonts w:cs="Calibri"/>
        </w:rPr>
      </w:pPr>
      <w:r>
        <w:rPr>
          <w:rFonts w:cs="Calibri"/>
        </w:rPr>
      </w:r>
      <w:r>
        <w:rPr>
          <w:rFonts w:cs="Calibri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рассмотрения предложений индивидуальных предприн</w:t>
      </w:r>
      <w:r>
        <w:rPr>
          <w:rFonts w:ascii="Times New Roman" w:hAnsi="Times New Roman"/>
          <w:sz w:val="28"/>
          <w:szCs w:val="28"/>
        </w:rPr>
        <w:t xml:space="preserve">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4.11 ст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37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21.07.2005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115-ФЗ «О концессионных соглашениях» (далее - Федеральный закон)</w:t>
      </w:r>
      <w:r>
        <w:rPr>
          <w:rFonts w:ascii="Times New Roman" w:hAnsi="Times New Roman"/>
          <w:sz w:val="28"/>
          <w:szCs w:val="28"/>
        </w:rPr>
        <w:t xml:space="preserve">, о заключении концессионного соглашения, поступившего в соответствии с ч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4.2 с</w:t>
      </w:r>
      <w:r>
        <w:rPr>
          <w:rFonts w:ascii="Times New Roman" w:hAnsi="Times New Roman"/>
          <w:sz w:val="28"/>
          <w:szCs w:val="28"/>
        </w:rPr>
        <w:t xml:space="preserve">т.</w:t>
      </w:r>
      <w:bookmarkStart w:id="10" w:name="_Hlk531791539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37 Федерального закона</w:t>
      </w:r>
      <w:bookmarkEnd w:id="10"/>
      <w:r>
        <w:rPr>
          <w:rFonts w:ascii="Times New Roman" w:hAnsi="Times New Roman"/>
          <w:sz w:val="28"/>
          <w:szCs w:val="28"/>
        </w:rPr>
        <w:t xml:space="preserve">, объект которого находится в собственности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(далее - инициатор заключения концессионного соглашения),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предложения </w:t>
      </w:r>
      <w:bookmarkStart w:id="11" w:name="_Hlk531788467"/>
      <w:r>
        <w:rPr>
          <w:rFonts w:ascii="Times New Roman" w:hAnsi="Times New Roman"/>
          <w:sz w:val="28"/>
          <w:szCs w:val="28"/>
        </w:rPr>
        <w:t xml:space="preserve">о заключении концессионного соглашения </w:t>
      </w:r>
      <w:bookmarkEnd w:id="11"/>
      <w:r>
        <w:rPr>
          <w:rFonts w:ascii="Times New Roman" w:hAnsi="Times New Roman"/>
          <w:sz w:val="28"/>
          <w:szCs w:val="28"/>
        </w:rPr>
        <w:t xml:space="preserve">утверждается Правительством Российской Федерации.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 администрации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организует рассмотрение предложения</w:t>
      </w:r>
      <w:bookmarkStart w:id="12" w:name="_Hlk531785274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заключении концессионного </w:t>
      </w:r>
      <w:r>
        <w:rPr>
          <w:rFonts w:ascii="Times New Roman" w:hAnsi="Times New Roman"/>
          <w:sz w:val="28"/>
          <w:szCs w:val="28"/>
        </w:rPr>
        <w:t xml:space="preserve">соглашения </w:t>
      </w:r>
      <w:bookmarkEnd w:id="12"/>
      <w:r>
        <w:rPr>
          <w:rFonts w:ascii="Times New Roman" w:hAnsi="Times New Roman"/>
          <w:sz w:val="28"/>
          <w:szCs w:val="28"/>
        </w:rPr>
        <w:t xml:space="preserve">(далее - предложение)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 календарных</w:t>
      </w:r>
      <w:r>
        <w:rPr>
          <w:rFonts w:ascii="Times New Roman" w:hAnsi="Times New Roman"/>
          <w:sz w:val="28"/>
          <w:szCs w:val="28"/>
        </w:rPr>
        <w:t xml:space="preserve"> дней со дня поступления предложения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 стратегического планирования и инвестиций в течении 3 календарных дне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направляет в отдел или орган администрации П</w:t>
      </w:r>
      <w:r>
        <w:rPr>
          <w:rFonts w:ascii="Times New Roman" w:hAnsi="Times New Roman"/>
          <w:sz w:val="28"/>
          <w:szCs w:val="28"/>
        </w:rPr>
        <w:t xml:space="preserve">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осуществляющ</w:t>
      </w:r>
      <w:r>
        <w:rPr>
          <w:rFonts w:ascii="Times New Roman" w:hAnsi="Times New Roman"/>
          <w:sz w:val="28"/>
          <w:szCs w:val="28"/>
        </w:rPr>
        <w:t xml:space="preserve">ий</w:t>
      </w:r>
      <w:r>
        <w:rPr>
          <w:rFonts w:ascii="Times New Roman" w:hAnsi="Times New Roman"/>
          <w:sz w:val="28"/>
          <w:szCs w:val="28"/>
        </w:rPr>
        <w:t xml:space="preserve"> управление в соответствии с полномочиями в установленной сфере деятельности, в которой планируется реализация концессионного соглашения</w:t>
      </w:r>
      <w:r>
        <w:rPr>
          <w:rFonts w:ascii="Times New Roman" w:hAnsi="Times New Roman"/>
          <w:sz w:val="28"/>
          <w:szCs w:val="28"/>
        </w:rPr>
        <w:t xml:space="preserve"> (далее - отраслевой орган)</w:t>
      </w:r>
      <w:r>
        <w:rPr>
          <w:rFonts w:ascii="Times New Roman" w:hAnsi="Times New Roman"/>
          <w:sz w:val="28"/>
          <w:szCs w:val="28"/>
        </w:rPr>
        <w:t xml:space="preserve">, поступившее </w:t>
      </w:r>
      <w:bookmarkStart w:id="13" w:name="_Hlk531784779"/>
      <w:r>
        <w:rPr>
          <w:rFonts w:ascii="Times New Roman" w:hAnsi="Times New Roman"/>
          <w:sz w:val="28"/>
          <w:szCs w:val="28"/>
        </w:rPr>
        <w:t xml:space="preserve">предложение </w:t>
      </w:r>
      <w:bookmarkEnd w:id="13"/>
      <w:r>
        <w:rPr>
          <w:rFonts w:ascii="Times New Roman" w:hAnsi="Times New Roman"/>
          <w:sz w:val="28"/>
          <w:szCs w:val="28"/>
        </w:rPr>
        <w:t xml:space="preserve">для предварительного рассмотрения в соответствии с компетенцией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Отраслевой орган в течени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календарных</w:t>
      </w:r>
      <w:r>
        <w:rPr>
          <w:rFonts w:ascii="Times New Roman" w:hAnsi="Times New Roman"/>
          <w:sz w:val="28"/>
          <w:szCs w:val="28"/>
        </w:rPr>
        <w:t xml:space="preserve"> дней со дня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готовит </w:t>
      </w:r>
      <w:r>
        <w:rPr>
          <w:rFonts w:ascii="Times New Roman" w:hAnsi="Times New Roman"/>
          <w:sz w:val="28"/>
          <w:szCs w:val="28"/>
        </w:rPr>
        <w:t xml:space="preserve">заключение о целесообразности </w:t>
      </w:r>
      <w:r>
        <w:rPr>
          <w:rFonts w:ascii="Times New Roman" w:hAnsi="Times New Roman"/>
          <w:sz w:val="28"/>
          <w:szCs w:val="28"/>
        </w:rPr>
        <w:t xml:space="preserve">(нецелесообразности)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редложения</w:t>
      </w:r>
      <w:r>
        <w:rPr>
          <w:rFonts w:ascii="Times New Roman" w:hAnsi="Times New Roman"/>
          <w:sz w:val="28"/>
          <w:szCs w:val="28"/>
        </w:rPr>
        <w:t xml:space="preserve"> (далее - заключение отраслевого органа)</w:t>
      </w:r>
      <w:r>
        <w:rPr>
          <w:rFonts w:ascii="Times New Roman" w:hAnsi="Times New Roman"/>
          <w:sz w:val="28"/>
          <w:szCs w:val="28"/>
        </w:rPr>
        <w:t xml:space="preserve"> и направля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 его в отдел стратегического планирования и инвестиций.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14" w:name="_Hlk531874536"/>
      <w:r>
        <w:rPr>
          <w:rFonts w:ascii="Times New Roman" w:hAnsi="Times New Roman"/>
          <w:sz w:val="28"/>
          <w:szCs w:val="28"/>
        </w:rPr>
        <w:t xml:space="preserve">Отдел стратеги</w:t>
      </w:r>
      <w:r>
        <w:rPr>
          <w:rFonts w:ascii="Times New Roman" w:hAnsi="Times New Roman"/>
          <w:sz w:val="28"/>
          <w:szCs w:val="28"/>
        </w:rPr>
        <w:t xml:space="preserve">ческого пла</w:t>
      </w:r>
      <w:r>
        <w:rPr>
          <w:rFonts w:ascii="Times New Roman" w:hAnsi="Times New Roman"/>
          <w:sz w:val="28"/>
          <w:szCs w:val="28"/>
        </w:rPr>
        <w:t xml:space="preserve">нирования и инвестиций в течение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 xml:space="preserve">поступления заключения отраслевого органа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направляет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редложение </w:t>
      </w:r>
      <w:r>
        <w:rPr>
          <w:rFonts w:ascii="Times New Roman" w:hAnsi="Times New Roman"/>
          <w:sz w:val="28"/>
          <w:szCs w:val="28"/>
        </w:rPr>
        <w:t xml:space="preserve">с приложением </w:t>
      </w:r>
      <w:r>
        <w:rPr>
          <w:rFonts w:ascii="Times New Roman" w:hAnsi="Times New Roman"/>
          <w:sz w:val="28"/>
          <w:szCs w:val="28"/>
        </w:rPr>
        <w:t xml:space="preserve">заключения отраслевого органа</w:t>
      </w:r>
      <w:r>
        <w:rPr>
          <w:rFonts w:ascii="Times New Roman" w:hAnsi="Times New Roman"/>
          <w:sz w:val="28"/>
          <w:szCs w:val="28"/>
        </w:rPr>
        <w:t xml:space="preserve"> на рассмотрение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овета</w:t>
      </w:r>
      <w:r>
        <w:rPr>
          <w:rFonts w:ascii="Times New Roman" w:hAnsi="Times New Roman"/>
          <w:sz w:val="28"/>
          <w:szCs w:val="28"/>
        </w:rPr>
        <w:t xml:space="preserve"> по улучшению инвестиционного климата в Петровском городском округе Ставропольского края (далее -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нвестиционный совет)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Инвестиционный совет в течение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 xml:space="preserve">дней со дня получения вышеуказанных документов принимает решение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возможности заключения концессионного соглашения на представленных в Предложении о заключении концессионного соглашения условиях;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возможности заключения концессионного соглашения на иных условиях;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невозможности заключения концессионного соглашения с указанием основания отказа</w:t>
      </w:r>
      <w:r>
        <w:rPr>
          <w:rFonts w:ascii="Times New Roman" w:hAnsi="Times New Roman"/>
          <w:sz w:val="28"/>
          <w:szCs w:val="28"/>
        </w:rPr>
        <w:t xml:space="preserve">в соответствии с ч. 4.6 ст. 37 Федерального закона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</w:t>
      </w:r>
      <w:r>
        <w:rPr>
          <w:rFonts w:ascii="Times New Roman" w:hAnsi="Times New Roman"/>
          <w:sz w:val="28"/>
          <w:szCs w:val="28"/>
        </w:rPr>
        <w:t xml:space="preserve">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0 календарных дней.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/>
      <w:bookmarkEnd w:id="14"/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течение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календарных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дней со дня принятия инвестиционным советом решения о возможности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(невозможности)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заключения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концессионного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соглашения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отдел стратегического планирования и инвестиций</w:t>
      </w:r>
      <w:bookmarkStart w:id="15" w:name="_Hlk531792176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подготавливает проект правового акта 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Петровского городского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возможности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(невозможности)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заключени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концессионного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соглашения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bookmarkEnd w:id="15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Копия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правового акта администрации Петровского городского округа Ставропольского края о возможности (невозможности) заключения концессионного соглашения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направляется инициатору заключения концессионного соглашения в течение 9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 xml:space="preserve">дней со дня принятия указанного решения.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. В случае принятия </w:t>
      </w:r>
      <w:r>
        <w:rPr>
          <w:rFonts w:ascii="Times New Roman" w:hAnsi="Times New Roman"/>
          <w:sz w:val="28"/>
          <w:szCs w:val="28"/>
        </w:rPr>
        <w:t xml:space="preserve">администрацией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- администрация)</w:t>
      </w:r>
      <w:r>
        <w:rPr>
          <w:rFonts w:ascii="Times New Roman" w:hAnsi="Times New Roman"/>
          <w:sz w:val="28"/>
          <w:szCs w:val="28"/>
        </w:rPr>
        <w:t xml:space="preserve">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 xml:space="preserve">10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 xml:space="preserve">дней со дня принятия такого решения размещает на официальном сайте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о проведении торгов, определенном Правительством Российской Федерации (далее - официальный сайт), предложение о заключении концессионного соглашения в целях принятия зая</w:t>
      </w:r>
      <w:r>
        <w:rPr>
          <w:rFonts w:ascii="Times New Roman" w:hAnsi="Times New Roman"/>
          <w:sz w:val="28"/>
          <w:szCs w:val="28"/>
        </w:rPr>
        <w:t xml:space="preserve">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от иных лиц, отвечающих требованиям, предъявляемых ч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4.1 ст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37 Федерального закона к лицу, выступающему с инициативой заключения концессионного соглашения (далее - заявка о готовности к участию в конкурсе).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решения о возможности заключения концессионного соглашения на иных условиях, чем предложено инициатором заключения </w:t>
      </w:r>
      <w:r>
        <w:rPr>
          <w:rFonts w:ascii="Times New Roman" w:hAnsi="Times New Roman"/>
          <w:sz w:val="28"/>
          <w:szCs w:val="28"/>
        </w:rPr>
        <w:t xml:space="preserve">концессионного </w:t>
      </w:r>
      <w:r>
        <w:rPr>
          <w:rFonts w:ascii="Times New Roman" w:hAnsi="Times New Roman"/>
          <w:sz w:val="28"/>
          <w:szCs w:val="28"/>
        </w:rPr>
        <w:t xml:space="preserve">соглашения,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 организует заседание </w:t>
      </w:r>
      <w:r>
        <w:rPr>
          <w:rFonts w:ascii="Times New Roman" w:hAnsi="Times New Roman"/>
          <w:sz w:val="28"/>
          <w:szCs w:val="28"/>
        </w:rPr>
        <w:t xml:space="preserve">инвестиционного совета</w:t>
      </w:r>
      <w:r>
        <w:rPr>
          <w:rFonts w:ascii="Times New Roman" w:hAnsi="Times New Roman"/>
          <w:sz w:val="28"/>
          <w:szCs w:val="28"/>
        </w:rPr>
        <w:t xml:space="preserve"> 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в течение 3 </w:t>
      </w:r>
      <w:r>
        <w:rPr>
          <w:rFonts w:ascii="Times New Roman" w:hAnsi="Times New Roman"/>
          <w:sz w:val="28"/>
          <w:szCs w:val="28"/>
        </w:rPr>
        <w:t xml:space="preserve">рабочих </w:t>
      </w:r>
      <w:r>
        <w:rPr>
          <w:rFonts w:ascii="Times New Roman" w:hAnsi="Times New Roman"/>
          <w:sz w:val="28"/>
          <w:szCs w:val="28"/>
        </w:rPr>
        <w:t xml:space="preserve">дней инициатору заключения концессионного соглашения.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 xml:space="preserve">По результатам переговоров </w:t>
      </w:r>
      <w:r>
        <w:rPr>
          <w:rFonts w:ascii="Times New Roman" w:hAnsi="Times New Roman"/>
          <w:sz w:val="28"/>
          <w:szCs w:val="28"/>
        </w:rPr>
        <w:t xml:space="preserve">инициатор</w:t>
      </w:r>
      <w:r>
        <w:rPr>
          <w:rFonts w:ascii="Times New Roman" w:hAnsi="Times New Roman"/>
          <w:sz w:val="28"/>
          <w:szCs w:val="28"/>
        </w:rPr>
        <w:t xml:space="preserve"> заключения концессионного соглашения, представляет в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 проект концессионного соглашения с внесенными изменениями, который подлежит рассмотрению </w:t>
      </w:r>
      <w:r>
        <w:rPr>
          <w:rFonts w:ascii="Times New Roman" w:hAnsi="Times New Roman"/>
          <w:sz w:val="28"/>
          <w:szCs w:val="28"/>
        </w:rPr>
        <w:t xml:space="preserve">отделом стратегического планирования и инвестиций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течени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рабочих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дней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В случае если в результате переговоров стороны не достигли согласия по условиям концессионного соглашения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либо инициатор концессионного соглашения отказался от ведения переговоров по изменению предложенных условий концессионного соглашения,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 в течение 10</w:t>
      </w:r>
      <w:r>
        <w:rPr>
          <w:rFonts w:ascii="Times New Roman" w:hAnsi="Times New Roman"/>
          <w:sz w:val="28"/>
          <w:szCs w:val="28"/>
        </w:rPr>
        <w:t xml:space="preserve"> рабочих</w:t>
      </w:r>
      <w:r>
        <w:rPr>
          <w:rFonts w:ascii="Times New Roman" w:hAnsi="Times New Roman"/>
          <w:sz w:val="28"/>
          <w:szCs w:val="28"/>
        </w:rPr>
        <w:t xml:space="preserve"> дней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подготавливает проект правового акта 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невозможности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заключени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концессионного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соглашения</w:t>
      </w:r>
      <w:r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4.4 и 4.6 ст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37 Федерального закона и направляет копию </w:t>
      </w:r>
      <w:r>
        <w:rPr>
          <w:rFonts w:ascii="Times New Roman" w:hAnsi="Times New Roman"/>
          <w:sz w:val="28"/>
          <w:szCs w:val="28"/>
        </w:rPr>
        <w:t xml:space="preserve">правового акта администрации</w:t>
      </w:r>
      <w:r>
        <w:rPr>
          <w:rFonts w:ascii="Times New Roman" w:hAnsi="Times New Roman"/>
          <w:sz w:val="28"/>
          <w:szCs w:val="28"/>
        </w:rPr>
        <w:t xml:space="preserve"> инициатору заключения концессионного соглашения</w:t>
      </w:r>
      <w:r>
        <w:rPr>
          <w:rFonts w:cs="Calibri"/>
        </w:rPr>
        <w:t xml:space="preserve">.</w:t>
      </w:r>
      <w:r>
        <w:rPr>
          <w:rFonts w:cs="Calibri"/>
        </w:rPr>
      </w:r>
      <w:r>
        <w:rPr>
          <w:rFonts w:cs="Calibri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В случае согласования проекта концессионного соглашения с внесенными изменениями </w:t>
      </w:r>
      <w:r>
        <w:rPr>
          <w:rFonts w:ascii="Times New Roman" w:hAnsi="Times New Roman"/>
          <w:sz w:val="28"/>
          <w:szCs w:val="28"/>
        </w:rPr>
        <w:t xml:space="preserve">отделом 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и инициатором заключения концессионного соглашения предложение о заключении концессионного соглашения размещается в течение 10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 xml:space="preserve">дней со дня принятия такого предложения на официальном сайте в целях принятия заявок о готовности к участию в конкурсе.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если в течение </w:t>
      </w:r>
      <w:r>
        <w:rPr>
          <w:rFonts w:ascii="Times New Roman" w:hAnsi="Times New Roman"/>
          <w:sz w:val="28"/>
          <w:szCs w:val="28"/>
        </w:rPr>
        <w:t xml:space="preserve">45 календарных</w:t>
      </w:r>
      <w:r>
        <w:rPr>
          <w:rFonts w:ascii="Times New Roman" w:hAnsi="Times New Roman"/>
          <w:sz w:val="28"/>
          <w:szCs w:val="28"/>
        </w:rPr>
        <w:t xml:space="preserve"> дней со дня размещения на официальном сайте предложения о заключении концессионного соглашения поступили заявки о готовности к участию в конкурсе,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 </w:t>
      </w:r>
      <w:r>
        <w:rPr>
          <w:rFonts w:ascii="Times New Roman" w:hAnsi="Times New Roman"/>
          <w:sz w:val="28"/>
          <w:szCs w:val="28"/>
        </w:rPr>
        <w:t xml:space="preserve">обязан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проекта решения о заключении концессионного соглашения осуществляется </w:t>
      </w:r>
      <w:r>
        <w:rPr>
          <w:rFonts w:ascii="Times New Roman" w:hAnsi="Times New Roman"/>
          <w:sz w:val="28"/>
          <w:szCs w:val="28"/>
        </w:rPr>
        <w:t xml:space="preserve">отделом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соответствии со ст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22 </w:t>
      </w:r>
      <w:r>
        <w:rPr>
          <w:rFonts w:ascii="Times New Roman" w:hAnsi="Times New Roman"/>
          <w:sz w:val="28"/>
          <w:szCs w:val="28"/>
        </w:rPr>
        <w:t xml:space="preserve">Федерального закона.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онцессионное соглашение может быть заключено без проведения конкурса в случаях, предусмотренных ч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6 ст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29, ч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7 ст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32, ч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2 и 4.10 ст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Л</w:t>
      </w:r>
      <w:r>
        <w:rPr>
          <w:rFonts w:ascii="Times New Roman" w:hAnsi="Times New Roman"/>
          <w:sz w:val="28"/>
          <w:szCs w:val="28"/>
        </w:rPr>
        <w:t xml:space="preserve">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 подтверждение возможности их получения.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После получения указанной информации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bookmarkStart w:id="16" w:name="_Hlk535834419"/>
      <w:r>
        <w:rPr>
          <w:rFonts w:ascii="Times New Roman" w:hAnsi="Times New Roman"/>
          <w:sz w:val="28"/>
          <w:szCs w:val="28"/>
        </w:rPr>
        <w:t xml:space="preserve">напра</w:t>
      </w:r>
      <w:r>
        <w:rPr>
          <w:rFonts w:ascii="Times New Roman" w:hAnsi="Times New Roman"/>
          <w:sz w:val="28"/>
          <w:szCs w:val="28"/>
        </w:rPr>
        <w:t xml:space="preserve">вляет проект концессионного соглашения на согласование в Совет депутатов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В случае принятия Советом </w:t>
      </w:r>
      <w:r>
        <w:rPr>
          <w:rFonts w:ascii="Times New Roman" w:hAnsi="Times New Roman"/>
          <w:sz w:val="28"/>
          <w:szCs w:val="28"/>
        </w:rPr>
        <w:t xml:space="preserve">депутатов Петровского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решения о согласовании проекта концессионного соглашения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 осуществляет подготовку проекта </w:t>
      </w:r>
      <w:r>
        <w:rPr>
          <w:rFonts w:ascii="Times New Roman" w:hAnsi="Times New Roman"/>
          <w:sz w:val="28"/>
          <w:szCs w:val="28"/>
        </w:rPr>
        <w:t xml:space="preserve">правового акта администрации </w:t>
      </w:r>
      <w:r>
        <w:rPr>
          <w:rFonts w:ascii="Times New Roman" w:hAnsi="Times New Roman"/>
          <w:sz w:val="28"/>
          <w:szCs w:val="28"/>
        </w:rPr>
        <w:t xml:space="preserve">о заключении концессионного соглашения,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22 Федерального закона.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ешение о заключении концессионного соглашения, предусмотренное ст. 22 Федерального закона, принимается в течение 30 календарных дней после истечения срока, установленного ч.4.10.ст. 37 Федерального закона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End w:id="16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Проект концессионного соглашения в течение 5 рабочих дней после принятия </w:t>
      </w:r>
      <w:r>
        <w:rPr>
          <w:rFonts w:ascii="Times New Roman" w:hAnsi="Times New Roman"/>
          <w:sz w:val="28"/>
          <w:szCs w:val="28"/>
        </w:rPr>
        <w:t xml:space="preserve">нормативного правового акта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заключении концессионного соглашения направляется </w:t>
      </w:r>
      <w:r>
        <w:rPr>
          <w:rFonts w:ascii="Times New Roman" w:hAnsi="Times New Roman"/>
          <w:sz w:val="28"/>
          <w:szCs w:val="28"/>
        </w:rPr>
        <w:t xml:space="preserve">отделом 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концессионеру с установлением срока для подписания этого соглашения, который не может </w:t>
      </w:r>
      <w:r>
        <w:rPr>
          <w:rFonts w:ascii="Times New Roman" w:hAnsi="Times New Roman"/>
          <w:sz w:val="28"/>
          <w:szCs w:val="28"/>
        </w:rPr>
        <w:t xml:space="preserve">превышать один месяц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концессионного соглашения осуществляется отраслевым органом в соответствии </w:t>
      </w:r>
      <w:r>
        <w:rPr>
          <w:rFonts w:ascii="Times New Roman" w:hAnsi="Times New Roman"/>
          <w:sz w:val="28"/>
          <w:szCs w:val="28"/>
        </w:rPr>
        <w:t xml:space="preserve">со ст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Федерального закона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ониторинг заключения и реализации заключенных концессионных соглашений, </w:t>
      </w:r>
      <w:r>
        <w:rPr>
          <w:rFonts w:ascii="Times New Roman" w:hAnsi="Times New Roman"/>
          <w:sz w:val="28"/>
          <w:szCs w:val="28"/>
        </w:rPr>
        <w:t xml:space="preserve">проводится федеральным органом исполнительной власти, уполномоченным на осуществление мониторинга </w:t>
      </w:r>
      <w:r>
        <w:rPr>
          <w:rFonts w:ascii="Times New Roman" w:hAnsi="Times New Roman"/>
          <w:sz w:val="28"/>
          <w:szCs w:val="28"/>
        </w:rPr>
        <w:t xml:space="preserve">в п</w:t>
      </w:r>
      <w:r>
        <w:rPr>
          <w:rFonts w:ascii="Times New Roman" w:hAnsi="Times New Roman"/>
          <w:sz w:val="28"/>
          <w:szCs w:val="28"/>
        </w:rPr>
        <w:t xml:space="preserve">орядк</w:t>
      </w:r>
      <w:r>
        <w:rPr>
          <w:rFonts w:ascii="Times New Roman" w:hAnsi="Times New Roman"/>
          <w:sz w:val="28"/>
          <w:szCs w:val="28"/>
        </w:rPr>
        <w:t xml:space="preserve">е,</w:t>
      </w:r>
      <w:r>
        <w:rPr>
          <w:rFonts w:ascii="Times New Roman" w:hAnsi="Times New Roman"/>
          <w:sz w:val="28"/>
          <w:szCs w:val="28"/>
        </w:rPr>
        <w:t xml:space="preserve"> утверждае</w:t>
      </w:r>
      <w:r>
        <w:rPr>
          <w:rFonts w:ascii="Times New Roman" w:hAnsi="Times New Roman"/>
          <w:sz w:val="28"/>
          <w:szCs w:val="28"/>
        </w:rPr>
        <w:t xml:space="preserve">мом </w:t>
      </w:r>
      <w:r>
        <w:rPr>
          <w:rFonts w:ascii="Times New Roman" w:hAnsi="Times New Roman"/>
          <w:sz w:val="28"/>
          <w:szCs w:val="28"/>
        </w:rPr>
        <w:t xml:space="preserve">Правительством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. Заключение концессионного соглашения, объ</w:t>
      </w:r>
      <w:r>
        <w:rPr>
          <w:rFonts w:ascii="Times New Roman" w:hAnsi="Times New Roman"/>
          <w:sz w:val="28"/>
          <w:szCs w:val="28"/>
        </w:rPr>
        <w:t xml:space="preserve">ектом которого являются объекты теплоснабжения, централизованных систем горячего водоснабжения, холодного водоснабжения и (или) водоотведения, отдельных объектов таких систем, по инициативе потенциального инвестора осуществляется в порядке, определенном гл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4 Федерального закона.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right="-2"/>
        <w:spacing w:after="0" w:line="240" w:lineRule="exact"/>
        <w:tabs>
          <w:tab w:val="left" w:pos="921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Управляющий делами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921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Петровского городского округа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Ставропольского края                </w:t>
        <w:tab/>
        <w:tab/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В.В.Редькин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8"/>
        <w:gridCol w:w="453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/>
            <w:bookmarkStart w:id="17" w:name="Par124"/>
            <w:r/>
            <w:bookmarkEnd w:id="17"/>
            <w:r/>
            <w:bookmarkStart w:id="18" w:name="_Hlk531849972"/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Утвержден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постановлением администрации Петровского городского округа Ставропольского края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10 апреля 2019 г. № 858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18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/>
      <w:bookmarkEnd w:id="18"/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</w:t>
      </w:r>
      <w:r>
        <w:rPr>
          <w:rFonts w:ascii="Times New Roman" w:hAnsi="Times New Roman"/>
          <w:bCs/>
          <w:sz w:val="28"/>
          <w:szCs w:val="28"/>
        </w:rPr>
        <w:t xml:space="preserve">орядок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формирования и утверждения перечня объектов, в отношении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которых планируется заключение концессионных соглашений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</w:t>
      </w:r>
      <w:r>
        <w:rPr>
          <w:rFonts w:ascii="Times New Roman" w:hAnsi="Times New Roman"/>
          <w:sz w:val="28"/>
          <w:szCs w:val="28"/>
        </w:rPr>
        <w:t xml:space="preserve">Петровскому </w:t>
      </w:r>
      <w:r>
        <w:rPr>
          <w:rFonts w:ascii="Times New Roman" w:hAnsi="Times New Roman"/>
          <w:sz w:val="28"/>
          <w:szCs w:val="28"/>
        </w:rPr>
        <w:t xml:space="preserve">городскому округу Ставропольского края (далее - объекты), в отношении которых планируется заключение концессионных соглашений (далее - Перечень).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Формирование Перечня осуществляется </w:t>
      </w:r>
      <w:r>
        <w:rPr>
          <w:rFonts w:ascii="Times New Roman" w:hAnsi="Times New Roman"/>
          <w:sz w:val="28"/>
          <w:szCs w:val="28"/>
        </w:rPr>
        <w:t xml:space="preserve">отделом стратегического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планирования и инвестиций администрации Петровского городского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, администрация</w:t>
      </w:r>
      <w:r>
        <w:rPr>
          <w:rFonts w:ascii="Times New Roman" w:hAnsi="Times New Roman"/>
          <w:sz w:val="28"/>
          <w:szCs w:val="28"/>
        </w:rPr>
        <w:t xml:space="preserve">) ежегодно до 31 декабря года, предшествующего году утверждения Перечня, на основании сведений, представляемых </w:t>
      </w:r>
      <w:r>
        <w:rPr>
          <w:rFonts w:ascii="Times New Roman" w:hAnsi="Times New Roman"/>
          <w:sz w:val="28"/>
          <w:szCs w:val="28"/>
        </w:rPr>
        <w:t xml:space="preserve">отделами и органами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(далее - </w:t>
      </w:r>
      <w:r>
        <w:rPr>
          <w:rFonts w:ascii="Times New Roman" w:hAnsi="Times New Roman"/>
          <w:sz w:val="28"/>
          <w:szCs w:val="28"/>
        </w:rPr>
        <w:t xml:space="preserve">отделы и органы администрации</w:t>
      </w:r>
      <w:r>
        <w:rPr>
          <w:rFonts w:ascii="Times New Roman" w:hAnsi="Times New Roman"/>
          <w:sz w:val="28"/>
          <w:szCs w:val="28"/>
        </w:rPr>
        <w:t xml:space="preserve">) в соответствии с отраслевой принадлежностью объектов, в отношении которых планируется заключение концессионных соглашений на основании п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настоящего Порядка.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19" w:name="Par130"/>
      <w:r/>
      <w:bookmarkEnd w:id="19"/>
      <w:r>
        <w:rPr>
          <w:rFonts w:ascii="Times New Roman" w:hAnsi="Times New Roman"/>
          <w:sz w:val="28"/>
          <w:szCs w:val="28"/>
        </w:rPr>
        <w:t xml:space="preserve">3. Для формирования Перечня </w:t>
      </w:r>
      <w:r>
        <w:rPr>
          <w:rFonts w:ascii="Times New Roman" w:hAnsi="Times New Roman"/>
          <w:sz w:val="28"/>
          <w:szCs w:val="28"/>
        </w:rPr>
        <w:t xml:space="preserve">отделы и органы администрации</w:t>
      </w:r>
      <w:r>
        <w:rPr>
          <w:rFonts w:ascii="Times New Roman" w:hAnsi="Times New Roman"/>
          <w:sz w:val="28"/>
          <w:szCs w:val="28"/>
        </w:rPr>
        <w:t xml:space="preserve"> ежегодно до 1 декабря года, предшествующего году утверждения Перечня, представляют в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сведения об объектах, в отношении которых планируется заключение концессионных соглашений,</w:t>
      </w:r>
      <w:r>
        <w:rPr>
          <w:rFonts w:ascii="Times New Roman" w:hAnsi="Times New Roman"/>
          <w:sz w:val="28"/>
          <w:szCs w:val="28"/>
        </w:rPr>
        <w:t xml:space="preserve"> по форме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риложению к настоящему Порядку (далее - сведения об объектах);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выписки из Единого государственного реестра недвижимости об основных характеристиках и зарегистрированных правах на объект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недвижимости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копии</w:t>
      </w:r>
      <w:r>
        <w:rPr>
          <w:rFonts w:ascii="Times New Roman" w:hAnsi="Times New Roman"/>
          <w:sz w:val="28"/>
          <w:szCs w:val="28"/>
        </w:rPr>
        <w:t xml:space="preserve"> документов, подтверждающих наличие объектов незавершенного строительства (далее - правоустанавливающие документы), при наличии.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>
        <w:rPr>
          <w:rFonts w:ascii="Times New Roman" w:hAnsi="Times New Roman"/>
          <w:sz w:val="28"/>
          <w:szCs w:val="28"/>
        </w:rPr>
        <w:t xml:space="preserve">отделы и органы администрации</w:t>
      </w:r>
      <w:r>
        <w:rPr>
          <w:rFonts w:ascii="Times New Roman" w:hAnsi="Times New Roman"/>
          <w:sz w:val="28"/>
          <w:szCs w:val="28"/>
        </w:rPr>
        <w:t xml:space="preserve"> представляют в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 копию отчета о техническом обследовании и</w:t>
      </w:r>
      <w:r>
        <w:rPr>
          <w:rFonts w:ascii="Times New Roman" w:hAnsi="Times New Roman"/>
          <w:sz w:val="28"/>
          <w:szCs w:val="28"/>
        </w:rPr>
        <w:t xml:space="preserve">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- копия отчета о техническом обследовании имущества).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 рассматривает документы </w:t>
      </w:r>
      <w:r>
        <w:rPr>
          <w:rFonts w:ascii="Times New Roman" w:hAnsi="Times New Roman"/>
          <w:sz w:val="28"/>
          <w:szCs w:val="28"/>
        </w:rPr>
        <w:t xml:space="preserve">отделов и органов администрации</w:t>
      </w:r>
      <w:r>
        <w:rPr>
          <w:rFonts w:ascii="Times New Roman" w:hAnsi="Times New Roman"/>
          <w:sz w:val="28"/>
          <w:szCs w:val="28"/>
        </w:rPr>
        <w:t xml:space="preserve">, представленные в соответствии с п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3, 4 настоящего Порядка, и включает сведения об объектах в Перечень, за исключением случаев, указанных в 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6 настоящего Порядка.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Сведения об объектах не включаются </w:t>
      </w:r>
      <w:r>
        <w:rPr>
          <w:rFonts w:ascii="Times New Roman" w:hAnsi="Times New Roman"/>
          <w:sz w:val="28"/>
          <w:szCs w:val="28"/>
        </w:rPr>
        <w:t xml:space="preserve">отделом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 в Перечень в случаях, если: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объект не относится к объектам, указанным в ст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4 Федерального закона от 21.07.2005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115-ФЗ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концессионных соглашениях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(далее - Федеральный закон»)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отделами и органами администрации</w:t>
      </w:r>
      <w:r>
        <w:rPr>
          <w:rFonts w:ascii="Times New Roman" w:hAnsi="Times New Roman"/>
          <w:sz w:val="28"/>
          <w:szCs w:val="28"/>
        </w:rPr>
        <w:t xml:space="preserve"> не представлены или представлены не в полном объеме документы, указанные в п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3, 4 настоящего Порядка.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целях подтверждения права собственности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на объекты, в отношении которых планируется заключение концессионных соглашений,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 вправе запрашивать правоустанавливающие документы в </w:t>
      </w:r>
      <w:r>
        <w:rPr>
          <w:rFonts w:ascii="Times New Roman" w:hAnsi="Times New Roman"/>
          <w:sz w:val="28"/>
          <w:szCs w:val="28"/>
        </w:rPr>
        <w:t xml:space="preserve">отделе</w:t>
      </w:r>
      <w:r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 </w:t>
      </w: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- отдел имущественных и земельных отношений)</w:t>
      </w:r>
      <w:r>
        <w:rPr>
          <w:rFonts w:ascii="Times New Roman" w:hAnsi="Times New Roman"/>
          <w:sz w:val="28"/>
          <w:szCs w:val="28"/>
        </w:rPr>
        <w:t xml:space="preserve">. Срок подготовки и направления ответа на указанный запрос не может превышать 15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 xml:space="preserve">дней со дня его поступления на рассмотрение в </w:t>
      </w:r>
      <w:r>
        <w:rPr>
          <w:rFonts w:ascii="Times New Roman" w:hAnsi="Times New Roman"/>
          <w:sz w:val="28"/>
          <w:szCs w:val="28"/>
        </w:rPr>
        <w:t xml:space="preserve">отдел</w:t>
      </w:r>
      <w:r>
        <w:rPr>
          <w:rFonts w:ascii="Times New Roman" w:hAnsi="Times New Roman"/>
          <w:sz w:val="28"/>
          <w:szCs w:val="28"/>
        </w:rPr>
        <w:t xml:space="preserve"> имущественных и земельных отношений.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ч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4.1 ст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37 Федерального закона.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Перечень утверждается 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администрации до 1 февраля текущего календарного года.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Перечень и копия отчета о техническом обследовании имущества (при наличии в Перечне объектов, указанных в п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4 настоящего Порядка) в течение 30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>
        <w:rPr>
          <w:rFonts w:ascii="Times New Roman" w:hAnsi="Times New Roman"/>
          <w:sz w:val="28"/>
          <w:szCs w:val="28"/>
        </w:rPr>
        <w:t xml:space="preserve">дней со дня </w:t>
      </w:r>
      <w:r>
        <w:rPr>
          <w:rFonts w:ascii="Times New Roman" w:hAnsi="Times New Roman"/>
          <w:sz w:val="28"/>
          <w:szCs w:val="28"/>
        </w:rPr>
        <w:t xml:space="preserve">принятия 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об утверждении Перечня подлежат размещению </w:t>
      </w:r>
      <w:r>
        <w:rPr>
          <w:rFonts w:ascii="Times New Roman" w:hAnsi="Times New Roman"/>
          <w:sz w:val="28"/>
          <w:szCs w:val="28"/>
        </w:rPr>
        <w:t xml:space="preserve">отделом стратегического планирования и инвестиций</w:t>
      </w:r>
      <w:r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информационно-телекоммуникаци</w:t>
      </w:r>
      <w:r>
        <w:rPr>
          <w:rFonts w:ascii="Times New Roman" w:hAnsi="Times New Roman"/>
          <w:sz w:val="28"/>
          <w:szCs w:val="28"/>
        </w:rPr>
        <w:t xml:space="preserve">онной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для размещения информации о проведении торгов, определенном Правительством Российской Федерации, и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праве направить </w:t>
      </w:r>
      <w:r>
        <w:rPr>
          <w:rFonts w:ascii="Times New Roman" w:hAnsi="Times New Roman"/>
          <w:sz w:val="28"/>
          <w:szCs w:val="28"/>
        </w:rPr>
        <w:t xml:space="preserve">в адрес министерства экономического развития Ставропольского края копию постановления об утверждении Перечня, а также электронную ссылку на указанный Перечень, размещенный на официальном сайте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Интернет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right="-2"/>
        <w:spacing w:after="0" w:line="240" w:lineRule="exact"/>
        <w:tabs>
          <w:tab w:val="left" w:pos="921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Управляющий делами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921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Петровского городского округа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Ставропольского края                </w:t>
        <w:tab/>
        <w:tab/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В.В.Редькин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ind w:right="-2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8"/>
        <w:spacing w:after="0" w:line="240" w:lineRule="exact"/>
        <w:tabs>
          <w:tab w:val="left" w:pos="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49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38"/>
        <w:gridCol w:w="43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38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br w:type="page" w:clear="all"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38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0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Порядку формирования и утверждения перечня объектов, в отношении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которых планируется заключение концессионных соглашений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6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ведения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объектах, в отношении которых планируется заключение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концессионных соглашений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3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1924"/>
        <w:gridCol w:w="2120"/>
        <w:gridCol w:w="1338"/>
        <w:gridCol w:w="1781"/>
        <w:gridCol w:w="162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объекта,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объекта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работ в рамках концессионного соглашения (создание и (или) реконструкция)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Предполагаемая мощность объекта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Планируемая сфера применения объекта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6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Оценочный объем требуемых инвестиций, млн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6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1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6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1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exac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8"/>
        <w:ind w:firstLine="709"/>
        <w:jc w:val="both"/>
        <w:spacing w:after="0" w:line="240" w:lineRule="exac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__________________________  ______________  _________________________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18"/>
        <w:ind w:firstLine="709"/>
        <w:jc w:val="both"/>
        <w:spacing w:after="0" w:line="240" w:lineRule="exact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(должность)                                (подпись)                            (Ф.И.О.)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sectPr>
      <w:footnotePr/>
      <w:endnotePr/>
      <w:type w:val="nextPage"/>
      <w:pgSz w:w="11905" w:h="16838" w:orient="portrait"/>
      <w:pgMar w:top="1418" w:right="567" w:bottom="1134" w:left="1985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9">
    <w:name w:val="Основной шрифт абзаца"/>
    <w:next w:val="619"/>
    <w:link w:val="618"/>
    <w:uiPriority w:val="1"/>
    <w:semiHidden/>
    <w:unhideWhenUsed/>
  </w:style>
  <w:style w:type="table" w:styleId="620">
    <w:name w:val="Обычная таблица"/>
    <w:next w:val="620"/>
    <w:link w:val="618"/>
    <w:uiPriority w:val="99"/>
    <w:semiHidden/>
    <w:unhideWhenUsed/>
    <w:qFormat/>
    <w:tblPr/>
  </w:style>
  <w:style w:type="numbering" w:styleId="621">
    <w:name w:val="Нет списка"/>
    <w:next w:val="621"/>
    <w:link w:val="618"/>
    <w:uiPriority w:val="99"/>
    <w:semiHidden/>
    <w:unhideWhenUsed/>
  </w:style>
  <w:style w:type="character" w:styleId="622">
    <w:name w:val="Гиперссылка"/>
    <w:basedOn w:val="619"/>
    <w:next w:val="622"/>
    <w:link w:val="618"/>
    <w:uiPriority w:val="99"/>
    <w:unhideWhenUsed/>
    <w:rPr>
      <w:color w:val="0563c1"/>
      <w:u w:val="single"/>
    </w:rPr>
  </w:style>
  <w:style w:type="character" w:styleId="623">
    <w:name w:val="Неразрешенное упоминание1"/>
    <w:basedOn w:val="619"/>
    <w:next w:val="623"/>
    <w:link w:val="618"/>
    <w:uiPriority w:val="99"/>
    <w:semiHidden/>
    <w:unhideWhenUsed/>
    <w:rPr>
      <w:color w:val="605e5c"/>
      <w:shd w:val="clear" w:color="auto" w:fill="e1dfdd"/>
    </w:rPr>
  </w:style>
  <w:style w:type="paragraph" w:styleId="624">
    <w:name w:val="ConsPlusNormal"/>
    <w:next w:val="624"/>
    <w:link w:val="618"/>
    <w:rPr>
      <w:rFonts w:ascii="Arial" w:hAnsi="Arial" w:eastAsia="Times New Roman" w:cs="Arial"/>
      <w:lang w:val="ru-RU" w:eastAsia="ru-RU" w:bidi="ar-SA"/>
    </w:rPr>
  </w:style>
  <w:style w:type="paragraph" w:styleId="625">
    <w:name w:val="Текст выноски"/>
    <w:basedOn w:val="618"/>
    <w:next w:val="625"/>
    <w:link w:val="6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6">
    <w:name w:val="Текст выноски Знак"/>
    <w:basedOn w:val="619"/>
    <w:next w:val="626"/>
    <w:link w:val="625"/>
    <w:uiPriority w:val="99"/>
    <w:semiHidden/>
    <w:rPr>
      <w:rFonts w:ascii="Segoe UI" w:hAnsi="Segoe UI" w:cs="Segoe UI"/>
      <w:sz w:val="18"/>
      <w:szCs w:val="18"/>
    </w:rPr>
  </w:style>
  <w:style w:type="paragraph" w:styleId="627">
    <w:name w:val="Т-1,5"/>
    <w:basedOn w:val="618"/>
    <w:next w:val="627"/>
    <w:link w:val="618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28">
    <w:name w:val="Абзац списка"/>
    <w:basedOn w:val="618"/>
    <w:next w:val="628"/>
    <w:link w:val="618"/>
    <w:uiPriority w:val="34"/>
    <w:qFormat/>
    <w:pPr>
      <w:contextualSpacing/>
      <w:ind w:left="720"/>
    </w:pPr>
  </w:style>
  <w:style w:type="character" w:styleId="3301" w:default="1">
    <w:name w:val="Default Paragraph Font"/>
    <w:uiPriority w:val="1"/>
    <w:semiHidden/>
    <w:unhideWhenUsed/>
  </w:style>
  <w:style w:type="numbering" w:styleId="3302" w:default="1">
    <w:name w:val="No List"/>
    <w:uiPriority w:val="99"/>
    <w:semiHidden/>
    <w:unhideWhenUsed/>
  </w:style>
  <w:style w:type="table" w:styleId="330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Лариса Васильевна</dc:creator>
  <cp:revision>3</cp:revision>
  <dcterms:created xsi:type="dcterms:W3CDTF">2019-04-10T08:01:00Z</dcterms:created>
  <dcterms:modified xsi:type="dcterms:W3CDTF">2024-03-20T11:43:01Z</dcterms:modified>
  <cp:version>786432</cp:version>
</cp:coreProperties>
</file>