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 О С Т А Н О В Л Е Н И Е</w:t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622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22"/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ПЕТРОВСКОГО ГОРОДСКОГО ОКРУГА </w:t>
      </w:r>
      <w:r>
        <w:rPr>
          <w:rFonts w:ascii="Times New Roman" w:hAnsi="Times New Roman"/>
          <w:sz w:val="24"/>
          <w:szCs w:val="24"/>
        </w:rPr>
      </w:r>
    </w:p>
    <w:p>
      <w:pPr>
        <w:pStyle w:val="622"/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 </w:t>
      </w:r>
      <w:r>
        <w:rPr>
          <w:rFonts w:ascii="Times New Roman" w:hAnsi="Times New Roman"/>
          <w:sz w:val="24"/>
          <w:szCs w:val="24"/>
        </w:rPr>
      </w:r>
    </w:p>
    <w:p>
      <w:pPr>
        <w:pStyle w:val="622"/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2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апреля 2019 г.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2"/>
              <w:jc w:val="right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876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2"/>
        <w:ind w:right="-57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капитального ремонта общего имущества </w:t>
      </w:r>
      <w:r>
        <w:rPr>
          <w:rFonts w:ascii="Times New Roman" w:hAnsi="Times New Roman"/>
          <w:sz w:val="28"/>
          <w:szCs w:val="28"/>
        </w:rPr>
        <w:t xml:space="preserve">в многоквартирных домах Петровского городского округа Ставропольского края, формирующих фонд капитального ремонта на счете регионального оператора, собственники помещений в которых не приняли решение о проведении капитального ремонта общего имущества в 201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0"/>
        <w:ind w:right="1"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189 Жилищного кодекса Российской Федерации, Законом Ставропольского края от 28 июня 2013 г. № 57-кз «Об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проведения капитального ремонта общего имущества в многоквартирных домах, расположенных на территории Ставропольского края», постановлением Правительства Ставропольского края от 29 мая                  2014 г. № 225-п «О региональной программе «Капита</w:t>
      </w:r>
      <w:r>
        <w:rPr>
          <w:rFonts w:ascii="Times New Roman" w:hAnsi="Times New Roman" w:cs="Times New Roman"/>
          <w:sz w:val="28"/>
          <w:szCs w:val="28"/>
        </w:rPr>
        <w:t xml:space="preserve">льный ремонт общего имущества в многоквартирных домах, расположенных на территории Ставропольского края, на 2014-2043 годы» (далее - программа капитального ремонта), приказом министерства жилищно-коммунального хозяйства Ставропольского края от 04 апреля 20</w:t>
      </w:r>
      <w:r>
        <w:rPr>
          <w:rFonts w:ascii="Times New Roman" w:hAnsi="Times New Roman" w:cs="Times New Roman"/>
          <w:sz w:val="28"/>
          <w:szCs w:val="28"/>
        </w:rPr>
        <w:t xml:space="preserve">16 г. № 104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Ставропольского края, на 2017-2019 годы», предложениями регионального оператора –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екоммерческой организации Ставропольского края «Фонд капитального ремонта общего имущества многоквартирных домов» (далее – региональный оператор),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Петровского городского округа Ставропольского края</w:t>
      </w:r>
      <w:r>
        <w:rPr>
          <w:rFonts w:ascii="Times New Roman" w:hAnsi="Times New Roman" w:cs="Times New Roman"/>
          <w:spacing w:val="20"/>
          <w:sz w:val="28"/>
          <w:szCs w:val="28"/>
        </w:rPr>
      </w:r>
      <w:r>
        <w:rPr>
          <w:rFonts w:ascii="Times New Roman" w:hAnsi="Times New Roman" w:cs="Times New Roman"/>
          <w:spacing w:val="20"/>
          <w:sz w:val="28"/>
          <w:szCs w:val="28"/>
        </w:rPr>
      </w:r>
    </w:p>
    <w:p>
      <w:pPr>
        <w:pStyle w:val="632"/>
        <w:ind w:right="-57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2"/>
        <w:ind w:right="-57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2"/>
        <w:ind w:right="-57"/>
        <w:spacing w:line="240" w:lineRule="exact"/>
        <w:rPr>
          <w:szCs w:val="28"/>
        </w:rPr>
      </w:pPr>
      <w:r>
        <w:rPr>
          <w:szCs w:val="28"/>
        </w:rPr>
        <w:t xml:space="preserve">ПОСТАНОВЛЯЕТ: </w:t>
      </w:r>
      <w:r>
        <w:rPr>
          <w:szCs w:val="28"/>
        </w:rPr>
      </w:r>
    </w:p>
    <w:p>
      <w:pPr>
        <w:pStyle w:val="632"/>
        <w:ind w:right="-57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2"/>
        <w:ind w:right="-57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720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капит</w:t>
      </w:r>
      <w:r>
        <w:rPr>
          <w:rFonts w:ascii="Times New Roman" w:hAnsi="Times New Roman"/>
          <w:sz w:val="28"/>
          <w:szCs w:val="28"/>
        </w:rPr>
        <w:t xml:space="preserve">альный ремонт общего имущества в многоквартирных домах Петровского городского округа Ставропольского края, формирующих фонд капитального ремонта на счете регионального оператора, собственники помещений в которых не приняли решение о проведении капитального</w:t>
      </w:r>
      <w:r>
        <w:rPr>
          <w:rFonts w:ascii="Times New Roman" w:hAnsi="Times New Roman"/>
          <w:sz w:val="28"/>
          <w:szCs w:val="28"/>
        </w:rPr>
        <w:t xml:space="preserve"> ремонта общего имущества в 2019</w:t>
      </w:r>
      <w:r>
        <w:rPr>
          <w:rFonts w:ascii="Times New Roman" w:hAnsi="Times New Roman"/>
          <w:sz w:val="28"/>
          <w:szCs w:val="28"/>
        </w:rPr>
        <w:t xml:space="preserve"> году, в соответствии с программой капитального ремонта и предложениями регионального оператора по перечню согласно приложению к настоящему постановлению.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20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Управлению муниципального хозяйства администрации Петровского городского округа Ставропольского края направить копию настоящего постановления региональному оператору для дальнейшей его реализации.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и государственной информационной системе жилищно-коммунального хозяйства.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официального опубликования в газете «Вестник Петровского городского округа».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right="85"/>
        <w:spacing w:line="240" w:lineRule="exact"/>
        <w:tabs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2"/>
        <w:ind w:right="85"/>
        <w:spacing w:line="240" w:lineRule="exact"/>
        <w:tabs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Первый заместитель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главы администрации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городского округа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А.И.Бабыкин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32"/>
        <w:ind w:right="85"/>
        <w:spacing w:line="240" w:lineRule="exact"/>
        <w:tabs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2"/>
        <w:ind w:right="-2"/>
        <w:spacing w:line="240" w:lineRule="exact"/>
        <w:tabs>
          <w:tab w:val="clear" w:pos="0" w:leader="none"/>
        </w:tabs>
        <w:rPr>
          <w:color w:val="ffffff"/>
          <w:szCs w:val="28"/>
        </w:rPr>
      </w:pPr>
      <w:r>
        <w:rPr>
          <w:color w:val="ffffff"/>
          <w:szCs w:val="28"/>
        </w:rPr>
      </w:r>
      <w:r>
        <w:rPr>
          <w:color w:val="ffffff"/>
          <w:szCs w:val="28"/>
        </w:rPr>
      </w:r>
    </w:p>
    <w:p>
      <w:pPr>
        <w:pStyle w:val="632"/>
        <w:ind w:right="-2"/>
        <w:spacing w:line="240" w:lineRule="exact"/>
        <w:tabs>
          <w:tab w:val="clear" w:pos="0" w:leader="none"/>
        </w:tabs>
        <w:rPr>
          <w:color w:val="ffffff"/>
          <w:szCs w:val="28"/>
        </w:rPr>
      </w:pPr>
      <w:r>
        <w:rPr>
          <w:color w:val="ffffff"/>
          <w:szCs w:val="28"/>
        </w:rPr>
      </w:r>
      <w:r>
        <w:rPr>
          <w:color w:val="ffffff"/>
          <w:szCs w:val="28"/>
        </w:rPr>
      </w:r>
    </w:p>
    <w:p>
      <w:pPr>
        <w:pStyle w:val="632"/>
        <w:ind w:right="-2"/>
        <w:jc w:val="center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</w:sectPr>
      </w:pPr>
      <w:r>
        <w:rPr>
          <w:szCs w:val="28"/>
        </w:rPr>
      </w:r>
      <w:r>
        <w:rPr>
          <w:szCs w:val="28"/>
        </w:rPr>
      </w:r>
    </w:p>
    <w:tbl>
      <w:tblPr>
        <w:tblW w:w="946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22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2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15 апреля 2019 г. № 876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43"/>
        <w:ind w:left="4920"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left="4920"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многоквартирных домов Петровского городского округа Ставропольского края, формирующих фонд капитального ремонта на счете регионального оператора, собственники помещений в которых не приняли решение о проведении капитального ремонта общего имущества в 201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C0" w:firstRow="0" w:lastRow="1" w:firstColumn="1" w:lastColumn="1" w:noHBand="0" w:noVBand="0"/>
      </w:tblPr>
      <w:tblGrid>
        <w:gridCol w:w="743"/>
        <w:gridCol w:w="2835"/>
        <w:gridCol w:w="3685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многоквартирного дома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работ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начала капитального ремонта (год)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4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Выставочная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инженерн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водоотведения,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пл. Выставочная, 11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инженерн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водоотведения, теплоснабжения. Ремонт подвальных помещений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12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инженерн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15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16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1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17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9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7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1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теплоснабжения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Ремонт подвальных помещений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6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8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ул. Железнодорожная, 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Калинина, 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ул. Кирова, 11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2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ул. Кирова, 17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4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ул. Кирова, 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4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ул. Кирова, 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3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ул. Комсомольская, 34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Фабричная, 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</w:tbl>
    <w:p>
      <w:pPr>
        <w:pStyle w:val="632"/>
        <w:ind w:left="-1134" w:right="1416"/>
        <w:jc w:val="right"/>
        <w:spacing w:line="240" w:lineRule="exact"/>
        <w:tabs>
          <w:tab w:val="left" w:pos="-1418" w:leader="none"/>
          <w:tab w:val="clear" w:pos="0" w:leader="none"/>
          <w:tab w:val="left" w:pos="14175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left="-1134" w:right="1416" w:firstLine="850"/>
        <w:jc w:val="both"/>
        <w:spacing w:after="0" w:line="240" w:lineRule="exact"/>
        <w:shd w:val="clear" w:color="auto" w:fill="ffffff"/>
        <w:tabs>
          <w:tab w:val="left" w:pos="-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right="1416"/>
        <w:jc w:val="both"/>
        <w:spacing w:after="0" w:line="240" w:lineRule="exact"/>
        <w:shd w:val="clear" w:color="auto" w:fill="ffffff"/>
        <w:tabs>
          <w:tab w:val="left" w:pos="-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right="1416"/>
        <w:jc w:val="both"/>
        <w:spacing w:after="0" w:line="240" w:lineRule="exact"/>
        <w:shd w:val="clear" w:color="auto" w:fill="ffffff"/>
        <w:tabs>
          <w:tab w:val="left" w:pos="-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right="-2"/>
        <w:jc w:val="both"/>
        <w:spacing w:after="0" w:line="240" w:lineRule="exact"/>
        <w:shd w:val="clear" w:color="auto" w:fill="ffffff"/>
        <w:tabs>
          <w:tab w:val="left" w:pos="-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В.В.Редькин</w:t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6" w:hanging="876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3" w:hanging="876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next w:val="622"/>
    <w:link w:val="622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623">
    <w:name w:val="Заголовок 1"/>
    <w:basedOn w:val="622"/>
    <w:next w:val="622"/>
    <w:link w:val="630"/>
    <w:qFormat/>
    <w:pPr>
      <w:ind w:right="-56"/>
      <w:jc w:val="both"/>
      <w:keepNext/>
      <w:spacing w:after="0" w:line="240" w:lineRule="auto"/>
      <w:tabs>
        <w:tab w:val="left" w:pos="0" w:leader="none"/>
      </w:tabs>
      <w:outlineLvl w:val="0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624">
    <w:name w:val="Заголовок 2"/>
    <w:basedOn w:val="622"/>
    <w:next w:val="622"/>
    <w:link w:val="631"/>
    <w:qFormat/>
    <w:pPr>
      <w:ind w:right="-56"/>
      <w:jc w:val="center"/>
      <w:keepNext/>
      <w:spacing w:after="0" w:line="240" w:lineRule="auto"/>
      <w:tabs>
        <w:tab w:val="left" w:pos="0" w:leader="none"/>
      </w:tabs>
      <w:outlineLvl w:val="1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625">
    <w:name w:val="Основной шрифт абзаца"/>
    <w:next w:val="625"/>
    <w:link w:val="622"/>
    <w:uiPriority w:val="1"/>
    <w:semiHidden/>
    <w:unhideWhenUsed/>
  </w:style>
  <w:style w:type="table" w:styleId="626">
    <w:name w:val="Обычная таблица"/>
    <w:next w:val="626"/>
    <w:link w:val="622"/>
    <w:uiPriority w:val="99"/>
    <w:semiHidden/>
    <w:unhideWhenUsed/>
    <w:qFormat/>
    <w:tblPr/>
  </w:style>
  <w:style w:type="numbering" w:styleId="627">
    <w:name w:val="Нет списка"/>
    <w:next w:val="627"/>
    <w:link w:val="622"/>
    <w:uiPriority w:val="99"/>
    <w:semiHidden/>
    <w:unhideWhenUsed/>
  </w:style>
  <w:style w:type="paragraph" w:styleId="628">
    <w:name w:val="Без интервала1"/>
    <w:next w:val="628"/>
    <w:link w:val="622"/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629">
    <w:name w:val="ConsNonformat"/>
    <w:next w:val="629"/>
    <w:link w:val="622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630">
    <w:name w:val="Заголовок 1 Знак"/>
    <w:basedOn w:val="625"/>
    <w:next w:val="630"/>
    <w:link w:val="623"/>
    <w:rPr>
      <w:rFonts w:ascii="Times New Roman" w:hAnsi="Times New Roman" w:eastAsia="Times New Roman" w:cs="Times New Roman"/>
      <w:b/>
      <w:sz w:val="24"/>
      <w:szCs w:val="20"/>
    </w:rPr>
  </w:style>
  <w:style w:type="character" w:styleId="631">
    <w:name w:val="Заголовок 2 Знак"/>
    <w:basedOn w:val="625"/>
    <w:next w:val="631"/>
    <w:link w:val="624"/>
    <w:rPr>
      <w:rFonts w:ascii="Times New Roman" w:hAnsi="Times New Roman" w:eastAsia="Times New Roman" w:cs="Times New Roman"/>
      <w:b/>
      <w:sz w:val="24"/>
      <w:szCs w:val="20"/>
    </w:rPr>
  </w:style>
  <w:style w:type="paragraph" w:styleId="632">
    <w:name w:val="Основной текст"/>
    <w:basedOn w:val="622"/>
    <w:next w:val="632"/>
    <w:link w:val="633"/>
    <w:pPr>
      <w:ind w:right="-56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8"/>
      <w:szCs w:val="20"/>
    </w:rPr>
  </w:style>
  <w:style w:type="character" w:styleId="633">
    <w:name w:val="Основной текст Знак"/>
    <w:basedOn w:val="625"/>
    <w:next w:val="633"/>
    <w:link w:val="632"/>
    <w:rPr>
      <w:rFonts w:ascii="Times New Roman" w:hAnsi="Times New Roman" w:eastAsia="Times New Roman" w:cs="Times New Roman"/>
      <w:sz w:val="28"/>
      <w:szCs w:val="20"/>
    </w:rPr>
  </w:style>
  <w:style w:type="table" w:styleId="634">
    <w:name w:val="Сетка таблицы"/>
    <w:basedOn w:val="626"/>
    <w:next w:val="634"/>
    <w:link w:val="622"/>
    <w:uiPriority w:val="59"/>
    <w:pPr>
      <w:spacing w:after="0" w:line="240" w:lineRule="auto"/>
    </w:pPr>
    <w:tblPr/>
  </w:style>
  <w:style w:type="paragraph" w:styleId="635">
    <w:name w:val="Текст выноски"/>
    <w:basedOn w:val="622"/>
    <w:next w:val="635"/>
    <w:link w:val="6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6">
    <w:name w:val="Текст выноски Знак"/>
    <w:basedOn w:val="625"/>
    <w:next w:val="636"/>
    <w:link w:val="635"/>
    <w:uiPriority w:val="99"/>
    <w:semiHidden/>
    <w:rPr>
      <w:rFonts w:ascii="Tahoma" w:hAnsi="Tahoma" w:cs="Tahoma"/>
      <w:sz w:val="16"/>
      <w:szCs w:val="16"/>
    </w:rPr>
  </w:style>
  <w:style w:type="paragraph" w:styleId="637">
    <w:name w:val="Название"/>
    <w:basedOn w:val="622"/>
    <w:next w:val="637"/>
    <w:link w:val="638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638">
    <w:name w:val="Название Знак"/>
    <w:basedOn w:val="625"/>
    <w:next w:val="638"/>
    <w:link w:val="637"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639">
    <w:name w:val="Т-1,5"/>
    <w:basedOn w:val="622"/>
    <w:next w:val="639"/>
    <w:link w:val="622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640">
    <w:name w:val="ConsPlusNormal"/>
    <w:next w:val="640"/>
    <w:link w:val="622"/>
    <w:pPr>
      <w:widowControl w:val="off"/>
    </w:pPr>
    <w:rPr>
      <w:rFonts w:ascii="Arial" w:hAnsi="Arial" w:cs="Arial"/>
      <w:lang w:val="ru-RU" w:eastAsia="ru-RU" w:bidi="ar-SA"/>
    </w:rPr>
  </w:style>
  <w:style w:type="paragraph" w:styleId="641">
    <w:name w:val="ConsPlusTitle"/>
    <w:next w:val="641"/>
    <w:link w:val="622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42">
    <w:name w:val="Абзац списка"/>
    <w:basedOn w:val="622"/>
    <w:next w:val="642"/>
    <w:link w:val="622"/>
    <w:uiPriority w:val="34"/>
    <w:qFormat/>
    <w:pPr>
      <w:contextualSpacing/>
      <w:ind w:left="720"/>
    </w:pPr>
  </w:style>
  <w:style w:type="paragraph" w:styleId="643">
    <w:name w:val="ConsNormal"/>
    <w:next w:val="643"/>
    <w:link w:val="622"/>
    <w:pPr>
      <w:ind w:firstLine="720"/>
      <w:jc w:val="both"/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1956" w:default="1">
    <w:name w:val="Default Paragraph Font"/>
    <w:uiPriority w:val="1"/>
    <w:semiHidden/>
    <w:unhideWhenUsed/>
  </w:style>
  <w:style w:type="numbering" w:styleId="1957" w:default="1">
    <w:name w:val="No List"/>
    <w:uiPriority w:val="99"/>
    <w:semiHidden/>
    <w:unhideWhenUsed/>
  </w:style>
  <w:style w:type="table" w:styleId="19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revision>3</cp:revision>
  <dcterms:created xsi:type="dcterms:W3CDTF">2019-04-15T11:53:00Z</dcterms:created>
  <dcterms:modified xsi:type="dcterms:W3CDTF">2024-03-20T11:48:17Z</dcterms:modified>
  <cp:version>786432</cp:version>
</cp:coreProperties>
</file>