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left"/>
        <w:tabs>
          <w:tab w:val="center" w:pos="4677" w:leader="none"/>
          <w:tab w:val="left" w:pos="7906" w:leader="none"/>
        </w:tabs>
        <w:rPr>
          <w:szCs w:val="32"/>
        </w:rPr>
      </w:pPr>
      <w:r>
        <w:rPr>
          <w:szCs w:val="32"/>
        </w:rPr>
        <w:tab/>
      </w:r>
      <w:r>
        <w:rPr>
          <w:szCs w:val="32"/>
        </w:rPr>
        <w:t xml:space="preserve">П О С Т А Н О В Л Е Н И Е</w:t>
      </w:r>
      <w:r>
        <w:rPr>
          <w:szCs w:val="32"/>
        </w:rPr>
        <w:tab/>
      </w:r>
      <w:r>
        <w:rPr>
          <w:szCs w:val="32"/>
        </w:rPr>
      </w:r>
      <w:r>
        <w:rPr>
          <w:szCs w:val="32"/>
        </w:rPr>
      </w:r>
    </w:p>
    <w:p>
      <w:pPr>
        <w:pStyle w:val="69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0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ГОРОДСКОГО ОКРУГА</w:t>
      </w:r>
      <w:r>
        <w:rPr>
          <w:b w:val="0"/>
          <w:sz w:val="24"/>
        </w:rPr>
      </w:r>
    </w:p>
    <w:p>
      <w:pPr>
        <w:pStyle w:val="690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  <w:r>
        <w:rPr>
          <w:b w:val="0"/>
          <w:sz w:val="24"/>
        </w:rPr>
      </w:r>
    </w:p>
    <w:p>
      <w:pPr>
        <w:pStyle w:val="69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90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08 мая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90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1043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94"/>
        <w:jc w:val="both"/>
        <w:spacing w:line="240" w:lineRule="exact"/>
      </w:pPr>
      <w:r>
        <w:t xml:space="preserve">О некоторых вопросах организации </w:t>
      </w:r>
      <w:r>
        <w:t xml:space="preserve">транспортного обслуживания населения пассажирским автомобильным транспортом</w:t>
      </w:r>
      <w:r>
        <w:t xml:space="preserve"> </w:t>
      </w:r>
      <w:r>
        <w:t xml:space="preserve">в Петровском городском округе Ставропольского края</w:t>
      </w:r>
      <w:r/>
    </w:p>
    <w:p>
      <w:pPr>
        <w:pStyle w:val="694"/>
        <w:jc w:val="both"/>
      </w:pPr>
      <w:r/>
      <w:r/>
    </w:p>
    <w:p>
      <w:pPr>
        <w:pStyle w:val="694"/>
        <w:jc w:val="both"/>
      </w:pPr>
      <w:r/>
      <w:r/>
    </w:p>
    <w:p>
      <w:pPr>
        <w:pStyle w:val="694"/>
        <w:ind w:firstLine="708"/>
        <w:jc w:val="both"/>
      </w:pPr>
      <w:r>
        <w:t xml:space="preserve">В соответствии с </w:t>
      </w:r>
      <w:r>
        <w:t xml:space="preserve">ч. 4 ст. 24 Федерального закона</w:t>
      </w:r>
      <w:r>
        <w:t xml:space="preserve"> от 13 июля 2015 г. </w:t>
      </w:r>
      <w:r>
        <w:t xml:space="preserve">            </w:t>
      </w:r>
      <w: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 xml:space="preserve"> </w:t>
      </w:r>
      <w:r>
        <w:t xml:space="preserve">администрация Петровского </w:t>
      </w:r>
      <w:r>
        <w:t xml:space="preserve">городского округа</w:t>
      </w:r>
      <w:r>
        <w:t xml:space="preserve"> Ставропольского края</w:t>
      </w:r>
      <w:r/>
    </w:p>
    <w:p>
      <w:pPr>
        <w:pStyle w:val="694"/>
        <w:jc w:val="both"/>
      </w:pPr>
      <w:r/>
      <w:r/>
    </w:p>
    <w:p>
      <w:pPr>
        <w:pStyle w:val="694"/>
        <w:jc w:val="both"/>
      </w:pPr>
      <w:r/>
      <w:r/>
    </w:p>
    <w:p>
      <w:pPr>
        <w:pStyle w:val="694"/>
        <w:jc w:val="both"/>
      </w:pPr>
      <w:r>
        <w:t xml:space="preserve">ПОСТАНОВЛЯЕТ:</w:t>
      </w:r>
      <w:r/>
    </w:p>
    <w:p>
      <w:pPr>
        <w:pStyle w:val="694"/>
        <w:ind w:firstLine="708"/>
        <w:jc w:val="both"/>
      </w:pPr>
      <w:r>
        <w:tab/>
      </w:r>
      <w:r/>
    </w:p>
    <w:p>
      <w:pPr>
        <w:pStyle w:val="694"/>
        <w:ind w:firstLine="708"/>
        <w:jc w:val="both"/>
      </w:pPr>
      <w:r/>
      <w:r/>
    </w:p>
    <w:p>
      <w:pPr>
        <w:pStyle w:val="694"/>
        <w:ind w:firstLine="708"/>
        <w:jc w:val="both"/>
      </w:pPr>
      <w:r>
        <w:t xml:space="preserve">1. Утвердить</w:t>
      </w:r>
      <w:r>
        <w:t xml:space="preserve"> прилагаемые</w:t>
      </w:r>
      <w:r>
        <w:t xml:space="preserve">:</w:t>
      </w:r>
      <w:r/>
    </w:p>
    <w:p>
      <w:pPr>
        <w:pStyle w:val="694"/>
        <w:ind w:firstLine="708"/>
        <w:jc w:val="both"/>
      </w:pPr>
      <w:r>
        <w:t xml:space="preserve">1.1</w:t>
      </w:r>
      <w:r>
        <w:t xml:space="preserve">. Дополнительные </w:t>
      </w:r>
      <w:r>
        <w:fldChar w:fldCharType="begin"/>
      </w:r>
      <w:r>
        <w:instrText xml:space="preserve">HYPERLINK consultantplus://offline/ref=9D75A7EB353FBDB906470CAAE6100B897DF58DF07DD50B29C162B1BCF6C95BE43EFEAE7052399138713765CFzCIDM </w:instrText>
      </w:r>
      <w:r>
        <w:fldChar w:fldCharType="separate"/>
      </w:r>
      <w:r>
        <w:t xml:space="preserve">характеристики</w:t>
      </w:r>
      <w:r>
        <w:fldChar w:fldCharType="end"/>
      </w:r>
      <w:r>
        <w:t xml:space="preserve"> транспортных средств, предлагаемых юридическим лицом, индивиду</w:t>
      </w:r>
      <w:r>
        <w:t xml:space="preserve">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края, применяемые в целях оценки и сопоставления заявок на участие в открытом конкурсе </w:t>
      </w:r>
      <w:r>
        <w:t xml:space="preserve">на право получения свидетельств об осуществлении перевозок</w:t>
      </w:r>
      <w:r>
        <w:rPr>
          <w:bCs/>
          <w:szCs w:val="28"/>
        </w:rPr>
        <w:t xml:space="preserve"> по одному или нескольким муниципальным маршрутам</w:t>
      </w:r>
      <w:r>
        <w:t xml:space="preserve">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края;</w:t>
      </w:r>
      <w:r/>
    </w:p>
    <w:p>
      <w:pPr>
        <w:pStyle w:val="694"/>
        <w:ind w:firstLine="708"/>
        <w:jc w:val="both"/>
      </w:pPr>
      <w:r>
        <w:t xml:space="preserve">1.2</w:t>
      </w:r>
      <w:r>
        <w:t xml:space="preserve">. </w:t>
      </w:r>
      <w:r>
        <w:fldChar w:fldCharType="begin"/>
      </w:r>
      <w:r>
        <w:instrText xml:space="preserve">HYPERLINK consultantplus://offline/ref=9D75A7EB353FBDB906470CAAE6100B897DF58DF07DD50B29C162B1BCF6C95BE43EFEAE7052399138713765CCzCI9M </w:instrText>
      </w:r>
      <w:r>
        <w:fldChar w:fldCharType="separate"/>
      </w:r>
      <w:r>
        <w:t xml:space="preserve">Шкалу</w:t>
      </w:r>
      <w:r>
        <w:fldChar w:fldCharType="end"/>
      </w:r>
      <w:r>
        <w:t xml:space="preserve"> для оценки критериев оценки и сопоставления заявок на участие в открытом конкурсе </w:t>
      </w:r>
      <w:r>
        <w:t xml:space="preserve">на право получения свидетельств об осуществлении перевозок</w:t>
      </w:r>
      <w:r>
        <w:rPr>
          <w:bCs/>
          <w:szCs w:val="28"/>
        </w:rPr>
        <w:t xml:space="preserve"> по одному или нескольким муниципальным маршрутам</w:t>
      </w:r>
      <w:r>
        <w:t xml:space="preserve">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края.</w:t>
      </w:r>
      <w:r/>
    </w:p>
    <w:p>
      <w:pPr>
        <w:pStyle w:val="694"/>
        <w:ind w:firstLine="708"/>
        <w:jc w:val="both"/>
      </w:pPr>
      <w:r/>
      <w:r/>
    </w:p>
    <w:p>
      <w:pPr>
        <w:pStyle w:val="694"/>
        <w:jc w:val="both"/>
      </w:pPr>
      <w:r>
        <w:tab/>
      </w:r>
      <w:r>
        <w:t xml:space="preserve">2. Признать утратившим силу</w:t>
      </w:r>
      <w:r>
        <w:t xml:space="preserve">:</w:t>
      </w:r>
      <w:r/>
    </w:p>
    <w:p>
      <w:pPr>
        <w:pStyle w:val="694"/>
        <w:ind w:firstLine="708"/>
        <w:jc w:val="both"/>
      </w:pPr>
      <w:r>
        <w:t xml:space="preserve">-</w:t>
      </w:r>
      <w:r>
        <w:t xml:space="preserve"> постановлени</w:t>
      </w:r>
      <w:r>
        <w:t xml:space="preserve">е</w:t>
      </w:r>
      <w:r>
        <w:t xml:space="preserve"> администрации Петровского муниципальн</w:t>
      </w:r>
      <w:r>
        <w:t xml:space="preserve">ого района Ставропольского края </w:t>
      </w:r>
      <w:r>
        <w:t xml:space="preserve">от 12 мая 2017 г. № 314</w:t>
      </w:r>
      <w:r>
        <w:t xml:space="preserve"> «</w:t>
      </w:r>
      <w:r>
        <w:t xml:space="preserve">О некоторых вопросах организации </w:t>
      </w:r>
      <w:r>
        <w:t xml:space="preserve">транспортного обслуживания населения пассажирским автомобильным транспортом</w:t>
      </w:r>
      <w:r>
        <w:t xml:space="preserve"> </w:t>
      </w:r>
      <w:r>
        <w:t xml:space="preserve">в Петровском </w:t>
      </w:r>
      <w:r>
        <w:t xml:space="preserve">муниципальном районе</w:t>
      </w:r>
      <w:r>
        <w:t xml:space="preserve"> Ставропольского края</w:t>
      </w:r>
      <w:r>
        <w:t xml:space="preserve">»;</w:t>
      </w:r>
      <w:r/>
    </w:p>
    <w:p>
      <w:pPr>
        <w:pStyle w:val="694"/>
        <w:ind w:firstLine="708"/>
        <w:jc w:val="both"/>
      </w:pPr>
      <w:r>
        <w:t xml:space="preserve">- постановление администрации города Светлограда Петровского района Ставропольского края</w:t>
      </w:r>
      <w:r>
        <w:t xml:space="preserve"> от 30 сентября 2016 г. № 631</w:t>
      </w:r>
      <w:r>
        <w:t xml:space="preserve"> «Об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город Светлоград Петровского района Ставропольского края».</w:t>
      </w:r>
      <w:r/>
    </w:p>
    <w:p>
      <w:pPr>
        <w:pStyle w:val="694"/>
        <w:jc w:val="both"/>
      </w:pPr>
      <w:r/>
      <w:r/>
    </w:p>
    <w:p>
      <w:pPr>
        <w:pStyle w:val="694"/>
        <w:ind w:firstLine="708"/>
        <w:jc w:val="both"/>
      </w:pPr>
      <w:r>
        <w:t xml:space="preserve">3</w:t>
      </w:r>
      <w:r>
        <w:t xml:space="preserve">. Настоящее постановление</w:t>
      </w:r>
      <w:r>
        <w:t xml:space="preserve"> </w:t>
      </w:r>
      <w:r>
        <w:t xml:space="preserve">вступает в силу</w:t>
      </w:r>
      <w:r>
        <w:t xml:space="preserve"> со дня его </w:t>
      </w:r>
      <w:r>
        <w:t xml:space="preserve">официального опубликования в газете «Вестник Петровского городского округа»</w:t>
      </w:r>
      <w:r>
        <w:t xml:space="preserve">.</w:t>
      </w:r>
      <w:r/>
    </w:p>
    <w:p>
      <w:pPr>
        <w:pStyle w:val="699"/>
        <w:ind w:right="0"/>
        <w:jc w:val="both"/>
        <w:spacing w:line="240" w:lineRule="exact"/>
        <w:widowControl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  <w:r>
        <w:rPr>
          <w:rFonts w:ascii="Times New Roman" w:hAnsi="Times New Roman" w:cs="Arial"/>
          <w:sz w:val="28"/>
        </w:rPr>
      </w:r>
    </w:p>
    <w:p>
      <w:pPr>
        <w:pStyle w:val="699"/>
        <w:ind w:right="0"/>
        <w:jc w:val="both"/>
        <w:spacing w:line="240" w:lineRule="exact"/>
        <w:widowControl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  <w:r>
        <w:rPr>
          <w:rFonts w:ascii="Times New Roman" w:hAnsi="Times New Roman" w:cs="Arial"/>
          <w:sz w:val="28"/>
        </w:rPr>
      </w:r>
    </w:p>
    <w:p>
      <w:pPr>
        <w:pStyle w:val="69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jc w:val="both"/>
        <w:spacing w:after="0"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67"/>
        <w:jc w:val="both"/>
        <w:spacing w:after="0" w:line="240" w:lineRule="exact"/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67"/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7"/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pPr w:horzAnchor="margin" w:tblpXSpec="left" w:vertAnchor="text" w:tblpY="-7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1418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</w:pPr>
            <w:r>
              <w:t xml:space="preserve">Утверждены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</w:pPr>
            <w:r>
              <w:t xml:space="preserve">постановлением</w:t>
            </w:r>
            <w:r>
              <w:t xml:space="preserve"> администрации</w:t>
            </w:r>
            <w:r/>
          </w:p>
          <w:p>
            <w:pPr>
              <w:pStyle w:val="694"/>
              <w:jc w:val="center"/>
              <w:spacing w:line="240" w:lineRule="exact"/>
            </w:pPr>
            <w:r>
              <w:t xml:space="preserve">Петровского </w:t>
            </w:r>
            <w:r>
              <w:t xml:space="preserve">городского округа</w:t>
            </w:r>
            <w:r>
              <w:t xml:space="preserve">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spacing w:after="0" w:line="240" w:lineRule="exact"/>
              <w:rPr>
                <w:szCs w:val="28"/>
              </w:rPr>
              <w:framePr w:hSpace="180" w:wrap="around" w:vAnchor="text" w:hAnchor="margin" w:y="-7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</w:pPr>
            <w:r>
              <w:t xml:space="preserve">от 08 мая 2019 г. № 1043</w:t>
            </w:r>
            <w:r/>
          </w:p>
        </w:tc>
      </w:tr>
    </w:tbl>
    <w:p>
      <w:pPr>
        <w:pStyle w:val="694"/>
        <w:jc w:val="both"/>
        <w:spacing w:line="240" w:lineRule="exact"/>
      </w:pPr>
      <w:r/>
      <w:r/>
    </w:p>
    <w:p>
      <w:pPr>
        <w:pStyle w:val="694"/>
        <w:jc w:val="center"/>
      </w:pPr>
      <w:r/>
      <w:r/>
    </w:p>
    <w:p>
      <w:pPr>
        <w:pStyle w:val="694"/>
        <w:jc w:val="center"/>
      </w:pPr>
      <w:r/>
      <w:r/>
    </w:p>
    <w:p>
      <w:pPr>
        <w:pStyle w:val="694"/>
        <w:jc w:val="center"/>
        <w:spacing w:line="240" w:lineRule="exact"/>
      </w:pPr>
      <w:r>
        <w:t xml:space="preserve">Дополнительные </w:t>
      </w:r>
      <w:r>
        <w:fldChar w:fldCharType="begin"/>
      </w:r>
      <w:r>
        <w:instrText xml:space="preserve">HYPERLINK consultantplus://offline/ref=9D75A7EB353FBDB906470CAAE6100B897DF58DF07DD50B29C162B1BCF6C95BE43EFEAE7052399138713765CFzCIDM </w:instrText>
      </w:r>
      <w:r>
        <w:fldChar w:fldCharType="separate"/>
      </w:r>
      <w:r>
        <w:t xml:space="preserve">характеристики</w:t>
      </w:r>
      <w:r>
        <w:fldChar w:fldCharType="end"/>
      </w:r>
      <w:r>
        <w:t xml:space="preserve"> </w:t>
      </w:r>
      <w:r/>
    </w:p>
    <w:p>
      <w:pPr>
        <w:pStyle w:val="694"/>
        <w:jc w:val="both"/>
        <w:spacing w:line="240" w:lineRule="exact"/>
      </w:pPr>
      <w:r>
        <w:t xml:space="preserve">транспортных средств,</w:t>
      </w:r>
      <w:r>
        <w:t xml:space="preserve"> </w:t>
      </w:r>
      <w:r>
        <w:t xml:space="preserve">предлагаемых юридическим лицом, индивиду</w:t>
      </w:r>
      <w:r>
        <w:t xml:space="preserve">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края, применяемые в целях оценки и сопоставления заявок на участие в открытом конкурсе </w:t>
      </w:r>
      <w:r>
        <w:t xml:space="preserve">на право получения свидетельств об осуществлении перевозок</w:t>
      </w:r>
      <w:r>
        <w:rPr>
          <w:bCs/>
          <w:szCs w:val="28"/>
        </w:rPr>
        <w:t xml:space="preserve"> по одному или нескольким муниципальным маршрутам</w:t>
      </w:r>
      <w:r>
        <w:t xml:space="preserve">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</w:t>
      </w:r>
      <w:r>
        <w:t xml:space="preserve">Ставропольского края</w:t>
      </w:r>
      <w:r/>
    </w:p>
    <w:p>
      <w:pPr>
        <w:pStyle w:val="667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7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4"/>
        <w:ind w:firstLine="708"/>
        <w:jc w:val="both"/>
      </w:pPr>
      <w:r>
        <w:t xml:space="preserve">1. Дополнительные характеристики транспортных средств, предлагаемых юридическим лицом, индивиду</w:t>
      </w:r>
      <w:r>
        <w:t xml:space="preserve">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</w:t>
      </w:r>
      <w:r>
        <w:t xml:space="preserve">Ставропольского края, применяемые в целях оценки и сопоставления заявок на участие в открытом конкурсе на право осуществления перевозок по муниципальным маршрутам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</w:t>
      </w:r>
      <w:r>
        <w:t xml:space="preserve">Ставропольского края (далее - Дополнительные характеристики транспортных средств), разработаны в соответствии с </w:t>
      </w:r>
      <w:r>
        <w:fldChar w:fldCharType="begin"/>
      </w:r>
      <w:r>
        <w:instrText xml:space="preserve">HYPERLINK consultantplus://offline/ref=C3E95254839C84E6835D02012FC4C80EEFE6D192D1049636C27C70B49BE3F9CC17915F59B601DFCDM5tDM </w:instrText>
      </w:r>
      <w:r>
        <w:fldChar w:fldCharType="separate"/>
      </w:r>
      <w:r>
        <w:t xml:space="preserve">пунктом 3 части 3 статьи 24</w:t>
      </w:r>
      <w:r>
        <w:fldChar w:fldCharType="end"/>
      </w:r>
      <w:r>
        <w:t xml:space="preserve"> Федерального закона</w:t>
      </w:r>
      <w:r>
        <w:t xml:space="preserve"> </w:t>
      </w:r>
      <w:r>
        <w:t xml:space="preserve">от 13 июля 2015 г. </w:t>
      </w:r>
      <w: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 xml:space="preserve"> (далее – Федеральный закон)</w:t>
      </w:r>
      <w:r>
        <w:t xml:space="preserve">.</w:t>
      </w:r>
      <w:r/>
    </w:p>
    <w:p>
      <w:pPr>
        <w:pStyle w:val="694"/>
        <w:ind w:firstLine="708"/>
        <w:jc w:val="both"/>
      </w:pPr>
      <w:r>
        <w:t xml:space="preserve">2. Под тр</w:t>
      </w:r>
      <w:r>
        <w:t xml:space="preserve">анспортным средством для целей настоящих Дополнительных характеристик транспортных средств понимается механическое транспортное средство категории М2 или М3, предназначенное для перевозки пассажиров и багажа по муниципальным маршрутам регулярных перевозок.</w:t>
      </w:r>
      <w:r/>
    </w:p>
    <w:p>
      <w:pPr>
        <w:pStyle w:val="694"/>
        <w:ind w:firstLine="708"/>
        <w:jc w:val="both"/>
      </w:pPr>
      <w:r>
        <w:t xml:space="preserve">Иные понятия, используемые в настоящих Дополнительных характеристиках транспортных средств, применяются в тех же значениях, что и в Федеральном </w:t>
      </w:r>
      <w:r>
        <w:fldChar w:fldCharType="begin"/>
      </w:r>
      <w:r>
        <w:instrText xml:space="preserve">HYPERLINK consultantplus://offline/ref=C3E95254839C84E6835D02012FC4C80EEFE6D192D1049636C27C70B49BMEt3M </w:instrText>
      </w:r>
      <w:r>
        <w:fldChar w:fldCharType="separate"/>
      </w:r>
      <w:r>
        <w:t xml:space="preserve">законе</w:t>
      </w:r>
      <w:r>
        <w:fldChar w:fldCharType="end"/>
      </w:r>
      <w:r>
        <w:t xml:space="preserve">.</w:t>
      </w:r>
      <w:r/>
    </w:p>
    <w:p>
      <w:pPr>
        <w:pStyle w:val="694"/>
        <w:ind w:firstLine="708"/>
        <w:jc w:val="both"/>
      </w:pPr>
      <w:r>
        <w:t xml:space="preserve">3. </w:t>
      </w:r>
      <w:r>
        <w:t xml:space="preserve">Дополнительными характеристиками транспортных средств являются наличие в транспортном средстве</w:t>
      </w:r>
      <w:r>
        <w:t xml:space="preserve">:</w:t>
      </w:r>
      <w:r/>
    </w:p>
    <w:p>
      <w:pPr>
        <w:pStyle w:val="694"/>
        <w:ind w:firstLine="708"/>
        <w:jc w:val="both"/>
      </w:pPr>
      <w:r>
        <w:t xml:space="preserve">устройства для автоматического открывания и закрывания двери, через которую осуществляется вход (выход) пассажиров (электрическим или пневматическим приводом);</w:t>
      </w:r>
      <w:r/>
    </w:p>
    <w:p>
      <w:pPr>
        <w:pStyle w:val="694"/>
        <w:ind w:firstLine="708"/>
        <w:jc w:val="both"/>
      </w:pPr>
      <w:r>
        <w:t xml:space="preserve">более 15 мест для сидения пассажиров;</w:t>
      </w:r>
      <w:r/>
    </w:p>
    <w:p>
      <w:pPr>
        <w:pStyle w:val="694"/>
        <w:ind w:firstLine="708"/>
        <w:jc w:val="both"/>
      </w:pPr>
      <w:r>
        <w:t xml:space="preserve">не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количества мест для сидения пассажиров.</w:t>
      </w:r>
      <w:r/>
    </w:p>
    <w:p>
      <w:pPr>
        <w:pStyle w:val="694"/>
        <w:jc w:val="both"/>
      </w:pPr>
      <w:r/>
      <w:r/>
    </w:p>
    <w:p>
      <w:pPr>
        <w:pStyle w:val="694"/>
      </w:pPr>
      <w:r/>
      <w:r/>
    </w:p>
    <w:p>
      <w:pPr>
        <w:pStyle w:val="694"/>
        <w:spacing w:line="240" w:lineRule="exact"/>
      </w:pPr>
      <w:r>
        <w:t xml:space="preserve">Управляющий делами администрации </w:t>
      </w:r>
      <w:r/>
    </w:p>
    <w:p>
      <w:pPr>
        <w:pStyle w:val="694"/>
        <w:spacing w:line="240" w:lineRule="exact"/>
      </w:pPr>
      <w:r>
        <w:t xml:space="preserve">Петровского </w:t>
      </w:r>
      <w:r>
        <w:t xml:space="preserve">городского округа</w:t>
      </w:r>
      <w:r>
        <w:t xml:space="preserve"> </w:t>
      </w:r>
      <w:r/>
    </w:p>
    <w:p>
      <w:pPr>
        <w:pStyle w:val="694"/>
        <w:spacing w:line="240" w:lineRule="exact"/>
      </w:pPr>
      <w:r>
        <w:t xml:space="preserve">Ставропольского края                                                         </w:t>
      </w:r>
      <w:r>
        <w:t xml:space="preserve">  </w:t>
      </w:r>
      <w:r>
        <w:t xml:space="preserve">               В.В.Редькин</w:t>
      </w:r>
      <w:r/>
    </w:p>
    <w:p>
      <w:pPr>
        <w:pStyle w:val="694"/>
        <w:spacing w:line="240" w:lineRule="exact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</w:pPr>
      <w:r/>
      <w:r/>
    </w:p>
    <w:tbl>
      <w:tblPr>
        <w:tblpPr w:horzAnchor="margin" w:tblpXSpec="left" w:vertAnchor="text" w:tblpY="-7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1418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  <w:framePr w:hSpace="180" w:wrap="around" w:vAnchor="text" w:hAnchor="margin" w:y="-7"/>
            </w:pPr>
            <w:r>
              <w:t xml:space="preserve">Утверждена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  <w:framePr w:hSpace="180" w:wrap="around" w:vAnchor="text" w:hAnchor="margin" w:y="-7"/>
            </w:pPr>
            <w:r>
              <w:t xml:space="preserve">постановлением</w:t>
            </w:r>
            <w:r>
              <w:t xml:space="preserve"> администрации</w:t>
            </w:r>
            <w:r/>
          </w:p>
          <w:p>
            <w:pPr>
              <w:pStyle w:val="694"/>
              <w:jc w:val="center"/>
              <w:spacing w:line="240" w:lineRule="exact"/>
              <w:framePr w:hSpace="180" w:wrap="around" w:vAnchor="text" w:hAnchor="margin" w:y="-7"/>
            </w:pPr>
            <w:r>
              <w:t xml:space="preserve">Петровского </w:t>
            </w:r>
            <w:r>
              <w:t xml:space="preserve">городского округа</w:t>
            </w:r>
            <w:r>
              <w:t xml:space="preserve">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94"/>
              <w:spacing w:line="240" w:lineRule="exact"/>
              <w:framePr w:hSpace="180" w:wrap="around" w:vAnchor="text" w:hAnchor="margin" w:y="-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line="240" w:lineRule="exact"/>
              <w:framePr w:hSpace="180" w:wrap="around" w:vAnchor="text" w:hAnchor="margin" w:y="-7"/>
            </w:pPr>
            <w:r>
              <w:t xml:space="preserve">от 08 мая 2019 г. № 1043</w:t>
            </w:r>
            <w:r/>
          </w:p>
        </w:tc>
      </w:tr>
    </w:tbl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  <w:jc w:val="center"/>
        <w:spacing w:line="240" w:lineRule="exact"/>
      </w:pPr>
      <w:r>
        <w:fldChar w:fldCharType="begin"/>
      </w:r>
      <w:r>
        <w:instrText xml:space="preserve">HYPERLINK consultantplus://offline/ref=9D75A7EB353FBDB906470CAAE6100B897DF58DF07DD50B29C162B1BCF6C95BE43EFEAE7052399138713765CCzCI9M </w:instrText>
      </w:r>
      <w:r>
        <w:fldChar w:fldCharType="separate"/>
      </w:r>
      <w:r>
        <w:t xml:space="preserve">Шкала</w:t>
      </w:r>
      <w:r>
        <w:fldChar w:fldCharType="end"/>
      </w:r>
      <w:r/>
    </w:p>
    <w:p>
      <w:pPr>
        <w:pStyle w:val="694"/>
        <w:jc w:val="both"/>
        <w:spacing w:line="240" w:lineRule="exact"/>
      </w:pPr>
      <w:r>
        <w:t xml:space="preserve">для оценки критериев оценки и сопоставления заявок на участие в открытом конкурсе </w:t>
      </w:r>
      <w:r>
        <w:t xml:space="preserve">на право получения свидетельств об осуществлении перевозок</w:t>
      </w:r>
      <w:r>
        <w:rPr>
          <w:bCs/>
          <w:szCs w:val="28"/>
        </w:rPr>
        <w:t xml:space="preserve"> по одному или нескольким муниципальным маршрутам</w:t>
      </w:r>
      <w:r>
        <w:t xml:space="preserve">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</w:t>
      </w:r>
      <w:r/>
    </w:p>
    <w:p>
      <w:pPr>
        <w:pStyle w:val="694"/>
      </w:pPr>
      <w:r/>
      <w:r/>
    </w:p>
    <w:p>
      <w:pPr>
        <w:pStyle w:val="694"/>
      </w:pPr>
      <w:r/>
      <w:r/>
    </w:p>
    <w:p>
      <w:pPr>
        <w:pStyle w:val="694"/>
        <w:ind w:firstLine="708"/>
        <w:jc w:val="both"/>
      </w:pPr>
      <w:r>
        <w:t xml:space="preserve">1. Шкала для оценки критериев оценки и сопоставления заявок на участие в открытом конкурсе </w:t>
      </w:r>
      <w:r>
        <w:t xml:space="preserve">на право получения свидетельств об осуществлении перевозок</w:t>
      </w:r>
      <w:r>
        <w:rPr>
          <w:bCs/>
          <w:szCs w:val="28"/>
        </w:rPr>
        <w:t xml:space="preserve"> по одному или нескольким муниципальным маршрутам</w:t>
      </w:r>
      <w:r>
        <w:t xml:space="preserve"> регулярных перевозок по нерегулируемым тарифам на территории Петровского </w:t>
      </w:r>
      <w:r>
        <w:t xml:space="preserve">городского округа</w:t>
      </w:r>
      <w:r>
        <w:t xml:space="preserve"> Ставропольского края (далее соответственно - Шкала для оценки критериев, открытый конкурс) разработана в соответствии с </w:t>
      </w:r>
      <w:r>
        <w:fldChar w:fldCharType="begin"/>
      </w:r>
      <w:r>
        <w:instrText xml:space="preserve">HYPERLINK consultantplus://offline/ref=3BEC4DC5B79C17F8DAD28D3F6A6033A34F5FCDD5B6C11F5EE2A3B04A4FFF3007748B382EA3E2AF78mFt6M </w:instrText>
      </w:r>
      <w:r>
        <w:fldChar w:fldCharType="separate"/>
      </w:r>
      <w:r>
        <w:t xml:space="preserve">частями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consultantplus://offline/ref=3BEC4DC5B79C17F8DAD28D3F6A6033A34F5FCDD5B6C11F5EE2A3B04A4FFF3007748B382EA3E2AF78mFt1M </w:instrText>
      </w:r>
      <w:r>
        <w:fldChar w:fldCharType="separate"/>
      </w:r>
      <w:r>
        <w:t xml:space="preserve">4 статьи 24</w:t>
      </w:r>
      <w:r>
        <w:fldChar w:fldCharType="end"/>
      </w:r>
      <w:r>
        <w:t xml:space="preserve"> </w:t>
      </w:r>
      <w:r>
        <w:t xml:space="preserve">Федерального закона</w:t>
      </w:r>
      <w:r>
        <w:t xml:space="preserve"> </w:t>
      </w:r>
      <w:r>
        <w:t xml:space="preserve">от 13 июля 2015 г. </w:t>
      </w:r>
      <w: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 xml:space="preserve"> (далее - Федеральный закон).</w:t>
      </w:r>
      <w:r/>
    </w:p>
    <w:p>
      <w:pPr>
        <w:pStyle w:val="694"/>
        <w:ind w:firstLine="708"/>
        <w:jc w:val="both"/>
      </w:pPr>
      <w:r>
        <w:t xml:space="preserve">2. Для целей настоящей Шкалы для оценки критериев применяются следующие понятия:</w:t>
      </w:r>
      <w:r/>
    </w:p>
    <w:p>
      <w:pPr>
        <w:pStyle w:val="694"/>
        <w:ind w:firstLine="708"/>
        <w:jc w:val="both"/>
      </w:pPr>
      <w:r>
        <w:t xml:space="preserve">лот - муниципальный маршрут (группа маршрутов) регулярных перевозок, включенный(х) в реестр маршрутов регулярных перевозок (далее - реестр);</w:t>
      </w:r>
      <w:r/>
    </w:p>
    <w:p>
      <w:pPr>
        <w:pStyle w:val="694"/>
        <w:ind w:firstLine="708"/>
        <w:jc w:val="both"/>
      </w:pPr>
      <w:r>
        <w:t xml:space="preserve">транспортное средство - механическое транспортное средство категории М2 или М3, предназначенное для перевозки пассажиров и багажа по муниципальным маршрутам регулярных перевозок.</w:t>
      </w:r>
      <w:r/>
    </w:p>
    <w:p>
      <w:pPr>
        <w:pStyle w:val="694"/>
        <w:ind w:firstLine="708"/>
        <w:jc w:val="both"/>
      </w:pPr>
      <w:r>
        <w:t xml:space="preserve">Иные понятия, используемые в настоящей Шкале для оценки критериев, применяются в тех же значениях, что и в Федеральном </w:t>
      </w:r>
      <w:r>
        <w:fldChar w:fldCharType="begin"/>
      </w:r>
      <w:r>
        <w:instrText xml:space="preserve">HYPERLINK consultantplus://offline/ref=3BEC4DC5B79C17F8DAD28D3F6A6033A34F5FCDD5B6C11F5EE2A3B04A4FmFtFM </w:instrText>
      </w:r>
      <w:r>
        <w:fldChar w:fldCharType="separate"/>
      </w:r>
      <w:r>
        <w:t xml:space="preserve">законе</w:t>
      </w:r>
      <w:r>
        <w:fldChar w:fldCharType="end"/>
      </w:r>
      <w:r>
        <w:t xml:space="preserve">.</w:t>
      </w:r>
      <w:r/>
    </w:p>
    <w:p>
      <w:pPr>
        <w:pStyle w:val="694"/>
        <w:ind w:firstLine="708"/>
        <w:jc w:val="both"/>
      </w:pPr>
      <w:r>
        <w:t xml:space="preserve">3. В соответствии с настоящей Шкалой для оценки критериев заявки на участие в открытом конкурсе оцениваются и сопоставляются по следующим критериям:</w:t>
      </w:r>
      <w:r/>
    </w:p>
    <w:p>
      <w:pPr>
        <w:pStyle w:val="694"/>
        <w:ind w:firstLine="708"/>
        <w:jc w:val="both"/>
        <w:rPr>
          <w:color w:val="000000"/>
        </w:rPr>
      </w:pPr>
      <w:r>
        <w:t xml:space="preserve">1) </w:t>
      </w:r>
      <w:r>
        <w:t xml:space="preserve">коэффициент безопасности пассажирских перевозок -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</w:t>
      </w:r>
      <w:r>
        <w:t xml:space="preserve">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администрации Петровского городского округа Ставропольского края в информаци</w:t>
      </w:r>
      <w:r>
        <w:t xml:space="preserve">онно-телекоммуникационной сети «Интернет»</w:t>
      </w:r>
      <w:r>
        <w:t xml:space="preserve"> (далее - дата</w:t>
      </w:r>
      <w:r>
        <w:t xml:space="preserve"> размещения извещения),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</w:t>
      </w:r>
      <w:r>
        <w:rPr>
          <w:color w:val="000000"/>
        </w:rPr>
        <w:t xml:space="preserve">причинение вреда жизни, здоровью, имуществу пассажиров, действовавшими в течение года, предшествующего дате размещения извещения (далее - коэффициент)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\l "P125"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&lt;*&gt;</w:t>
      </w:r>
      <w:r>
        <w:rPr>
          <w:color w:val="000000"/>
        </w:rPr>
        <w:fldChar w:fldCharType="end"/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при значении коэффициента 0 - 0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при значении коэффициента от 0 до 0,1 - минус 5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при значении коэффициента от 0,1 до 0,25 - минус 10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при значении коэффициента от 0,25 и более - минус 15 баллов;</w:t>
      </w:r>
      <w:r>
        <w:rPr>
          <w:color w:val="000000"/>
        </w:rPr>
      </w:r>
    </w:p>
    <w:p>
      <w:pPr>
        <w:pStyle w:val="694"/>
        <w:ind w:firstLine="708"/>
        <w:jc w:val="both"/>
      </w:pPr>
      <w:r>
        <w:rPr>
          <w:color w:val="000000"/>
        </w:rPr>
        <w:t xml:space="preserve">2) </w:t>
      </w:r>
      <w:r>
        <w:rPr>
          <w:color w:val="000000"/>
        </w:rPr>
        <w:t xml:space="preserve">опыт осуществления регулярных перевозок - срок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</w:t>
      </w:r>
      <w:r>
        <w:t xml:space="preserve"> государственных или муниципальных конт</w:t>
      </w:r>
      <w:r>
        <w:t xml:space="preserve">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</w:t>
      </w:r>
      <w:r>
        <w:t xml:space="preserve">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 (далее - срок осуществления регулярных перевозок)</w:t>
      </w:r>
      <w:r>
        <w:t xml:space="preserve"> </w:t>
      </w:r>
      <w:r>
        <w:fldChar w:fldCharType="begin"/>
      </w:r>
      <w:r>
        <w:instrText xml:space="preserve">HYPERLINK \l Par33  </w:instrText>
      </w:r>
      <w:r>
        <w:fldChar w:fldCharType="separate"/>
      </w:r>
      <w:r>
        <w:t xml:space="preserve">&lt;*</w:t>
      </w:r>
      <w:r>
        <w:t xml:space="preserve">*</w:t>
      </w:r>
      <w:r>
        <w:t xml:space="preserve">&gt;</w:t>
      </w:r>
      <w:r>
        <w:fldChar w:fldCharType="end"/>
      </w:r>
      <w:r>
        <w:t xml:space="preserve">:</w:t>
      </w:r>
      <w:r/>
    </w:p>
    <w:p>
      <w:pPr>
        <w:pStyle w:val="694"/>
        <w:ind w:firstLine="708"/>
        <w:jc w:val="both"/>
      </w:pPr>
      <w:r>
        <w:t xml:space="preserve">до 1 года - 0 баллов;</w:t>
      </w:r>
      <w:r/>
    </w:p>
    <w:p>
      <w:pPr>
        <w:pStyle w:val="694"/>
        <w:ind w:firstLine="708"/>
        <w:jc w:val="both"/>
      </w:pPr>
      <w:r>
        <w:t xml:space="preserve">от 1 года до 3 лет - 1 балл;</w:t>
      </w:r>
      <w:r/>
    </w:p>
    <w:p>
      <w:pPr>
        <w:pStyle w:val="694"/>
        <w:ind w:firstLine="708"/>
        <w:jc w:val="both"/>
      </w:pPr>
      <w:r>
        <w:t xml:space="preserve">от 3 до 5 лет - 2 балла;</w:t>
      </w:r>
      <w:r/>
    </w:p>
    <w:p>
      <w:pPr>
        <w:pStyle w:val="694"/>
        <w:ind w:firstLine="708"/>
        <w:jc w:val="both"/>
      </w:pPr>
      <w:r>
        <w:t xml:space="preserve">от 5 до 7 лет - 3 балла;</w:t>
      </w:r>
      <w:r/>
    </w:p>
    <w:p>
      <w:pPr>
        <w:pStyle w:val="694"/>
        <w:ind w:firstLine="708"/>
        <w:jc w:val="both"/>
      </w:pPr>
      <w:r>
        <w:t xml:space="preserve">от 7 до 10 лет - 4 балла;</w:t>
      </w:r>
      <w:r/>
    </w:p>
    <w:p>
      <w:pPr>
        <w:pStyle w:val="694"/>
        <w:ind w:firstLine="708"/>
        <w:jc w:val="both"/>
      </w:pPr>
      <w:r>
        <w:t xml:space="preserve">от 10 лет и более - 5 баллов;</w:t>
      </w:r>
      <w:r/>
    </w:p>
    <w:p>
      <w:pPr>
        <w:pStyle w:val="694"/>
        <w:ind w:firstLine="708"/>
        <w:jc w:val="both"/>
        <w:rPr>
          <w:color w:val="000000"/>
        </w:rPr>
      </w:pPr>
      <w:r>
        <w:t xml:space="preserve">3) влияющие на качество перевозок характеристики транспортных </w:t>
      </w:r>
      <w:r>
        <w:rPr>
          <w:color w:val="000000"/>
        </w:rPr>
        <w:t xml:space="preserve">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(далее - характеристики транспортных средств)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\l "P125"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&lt;***&gt;</w:t>
      </w:r>
      <w:r>
        <w:rPr>
          <w:color w:val="000000"/>
        </w:rPr>
        <w:fldChar w:fldCharType="end"/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а) оснащение транспортного средства: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кондиционером (оснащение кондиционером - 1 балл; отсутствие оснащения кондиционером - 0 баллов);</w:t>
      </w:r>
      <w:r>
        <w:rPr>
          <w:color w:val="000000"/>
        </w:rPr>
      </w:r>
    </w:p>
    <w:p>
      <w:pPr>
        <w:pStyle w:val="694"/>
        <w:ind w:firstLine="708"/>
        <w:jc w:val="both"/>
      </w:pPr>
      <w:r>
        <w:rPr>
          <w:color w:val="000000"/>
        </w:rPr>
        <w:t xml:space="preserve">оборудованием для перевозок пассажиров из числа инвалидов (оснащение указанным оборудованием - 2 балла; отсутствие оснащения указанным оборудованием</w:t>
      </w:r>
      <w:r>
        <w:t xml:space="preserve"> - 0 баллов);</w:t>
      </w:r>
      <w:r/>
    </w:p>
    <w:p>
      <w:pPr>
        <w:pStyle w:val="694"/>
        <w:ind w:firstLine="708"/>
        <w:jc w:val="both"/>
      </w:pPr>
      <w:r>
        <w:t xml:space="preserve">б) наличие в транспортном средстве:</w:t>
      </w:r>
      <w:r/>
    </w:p>
    <w:p>
      <w:pPr>
        <w:pStyle w:val="694"/>
        <w:ind w:firstLine="708"/>
        <w:jc w:val="both"/>
        <w:rPr>
          <w:color w:val="000000"/>
        </w:rPr>
      </w:pPr>
      <w:r>
        <w:t xml:space="preserve">низкого пола (наличие низкого пола - 2 балла; отсутствие низкого пола - 0 баллов);</w:t>
      </w:r>
      <w:r>
        <w:rPr>
          <w:color w:val="000000"/>
        </w:rPr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в) иные характеристики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\l "P127"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&lt;****&gt;</w:t>
      </w:r>
      <w:r>
        <w:rPr>
          <w:color w:val="000000"/>
        </w:rPr>
        <w:fldChar w:fldCharType="end"/>
      </w:r>
      <w:r>
        <w:rPr>
          <w:color w:val="000000"/>
        </w:rPr>
        <w:t xml:space="preserve">, включающие наличие в транспортном средстве: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у</w:t>
      </w:r>
      <w:r>
        <w:rPr>
          <w:color w:val="000000"/>
        </w:rPr>
        <w:t xml:space="preserve">стройства для автоматического открывания и закрывания двери, через которую осуществляется вход (выход) пассажиров (электрическим или пневматическим приводом) (оснащение указанным устройством - 1 балл; отсутствие оснащения указанным устройством - 0 баллов);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более 15 мест для сидения пассажиров (наличие более 15 мест для сидения пассажиров - 3 балла; наличие 15 и менее мест для сидения пассажиров - 0 баллов);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не менее 90 процентов мест для сидения пассажиров, оборудованных креслами повышенной комфортабельности с</w:t>
      </w:r>
      <w:r>
        <w:t xml:space="preserve"> регулируемым наклоном спинки сидения, от общего количества мест для сидения пассажиров (наличие не менее 90 процентов мест для сидения пассажиров, оборудованных креслами повышенной комфортабельности с</w:t>
      </w:r>
      <w:r>
        <w:t xml:space="preserve"> регулируемым наклоном спинки сидения, от общего количества мест для сидения пассажиров - 1 балл; наличие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</w:t>
      </w:r>
      <w:r>
        <w:rPr>
          <w:color w:val="000000"/>
        </w:rPr>
        <w:t xml:space="preserve">количества мест для сидения пассажиров - 0 баллов);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4) срок эксплуатации транспортных средств - максимальный срок эксплуатации транспортных сре</w:t>
      </w:r>
      <w:r>
        <w:rPr>
          <w:color w:val="000000"/>
        </w:rPr>
        <w:t xml:space="preserve">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 течение срока действия свидетельства об осуществлении перевозок по маршруту регулярных перевозок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\l "P129"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&lt;*****&gt;</w:t>
      </w:r>
      <w:r>
        <w:rPr>
          <w:color w:val="000000"/>
        </w:rPr>
        <w:fldChar w:fldCharType="end"/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от 0 до 3 лет включительно - 10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от 3 до 5 лет включительно - 8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от 5 до 7 лет включительно - 4 балла;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от 7 до 10 лет включительно - 0 баллов;</w:t>
      </w:r>
      <w:r>
        <w:rPr>
          <w:color w:val="000000"/>
        </w:rPr>
      </w:r>
    </w:p>
    <w:p>
      <w:pPr>
        <w:pStyle w:val="694"/>
        <w:ind w:firstLine="708"/>
        <w:jc w:val="both"/>
        <w:rPr>
          <w:color w:val="000000"/>
        </w:rPr>
      </w:pPr>
      <w:r>
        <w:rPr>
          <w:color w:val="000000"/>
        </w:rPr>
        <w:t xml:space="preserve">более 10 лет - минус 5 баллов.</w:t>
      </w:r>
      <w:r>
        <w:rPr>
          <w:color w:val="000000"/>
        </w:rPr>
      </w:r>
    </w:p>
    <w:p>
      <w:pPr>
        <w:pStyle w:val="694"/>
        <w:jc w:val="both"/>
        <w:rPr>
          <w:color w:val="000000"/>
        </w:rPr>
      </w:pPr>
      <w:r>
        <w:rPr>
          <w:color w:val="000000"/>
        </w:rPr>
        <w:t xml:space="preserve">--------------------------------</w:t>
      </w:r>
      <w:r>
        <w:rPr>
          <w:color w:val="000000"/>
        </w:rPr>
      </w:r>
    </w:p>
    <w:p>
      <w:pPr>
        <w:pStyle w:val="694"/>
        <w:ind w:firstLine="708"/>
        <w:jc w:val="both"/>
      </w:pPr>
      <w:r/>
      <w:bookmarkStart w:id="0" w:name="P121"/>
      <w:r/>
      <w:bookmarkEnd w:id="0"/>
      <w:r>
        <w:rPr>
          <w:color w:val="000000"/>
        </w:rPr>
        <w:t xml:space="preserve">&lt;*&gt; Среднее количество транспортных</w:t>
      </w:r>
      <w:r>
        <w:t xml:space="preserve"> средств рассчитывается исходя из общего количества в течение года, пр</w:t>
      </w:r>
      <w:r>
        <w:t xml:space="preserve">едшествующего дате размещения извещения,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средств, отнесенного к количеству дней в соответствующем году.</w:t>
      </w:r>
      <w:r/>
    </w:p>
    <w:p>
      <w:pPr>
        <w:pStyle w:val="694"/>
        <w:ind w:firstLine="708"/>
        <w:jc w:val="both"/>
      </w:pPr>
      <w:r/>
      <w:bookmarkStart w:id="1" w:name="P123"/>
      <w:r/>
      <w:bookmarkEnd w:id="1"/>
      <w:r>
        <w:t xml:space="preserve">&lt;**&gt; Данный критерий в отношении юридического лица или индивидуального предпринимателя исчисляется исходя из количества полн</w:t>
      </w:r>
      <w:r>
        <w:t xml:space="preserve">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  <w:r/>
    </w:p>
    <w:p>
      <w:pPr>
        <w:pStyle w:val="694"/>
        <w:ind w:firstLine="708"/>
        <w:jc w:val="both"/>
      </w:pPr>
      <w:r/>
      <w:bookmarkStart w:id="2" w:name="P125"/>
      <w:r/>
      <w:bookmarkEnd w:id="2"/>
      <w:r>
        <w:t xml:space="preserve">&lt;***&gt; Подсчет баллов за характеристики транспортных средств производится путем деления суммы баллов, полученных за подтвержденные документально характеристики транспортных средств и дополнительные характеристики каждого транспортного ср</w:t>
      </w:r>
      <w:r>
        <w:t xml:space="preserve">едства, заявленного для участия в открытом конкурсе, соответствующего требованиям, указанным в реестре (но не более количества транспортных средств, необходимого для обслуживания лота), на количество транспортных средств, необходимое для обслуживания лота.</w:t>
      </w:r>
      <w:r/>
    </w:p>
    <w:p>
      <w:pPr>
        <w:pStyle w:val="694"/>
        <w:ind w:firstLine="708"/>
        <w:jc w:val="both"/>
      </w:pPr>
      <w:r/>
      <w:bookmarkStart w:id="3" w:name="P127"/>
      <w:r/>
      <w:bookmarkEnd w:id="3"/>
      <w:r>
        <w:t xml:space="preserve">&lt;****&gt; Под иными характеристиками в целях оценки заявки на участие в открытом конкурсе понимаются Дополнительные характеристики транспортных средств, предлагаемых юридическим лицом, индивидуальным пр</w:t>
      </w:r>
      <w:r>
        <w:t xml:space="preserve">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крае, влияющих на качество регулярных пер</w:t>
      </w:r>
      <w:r>
        <w:t xml:space="preserve">евозок, применяемых в целях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крае, утвержденные Правительством Ставропольского края.</w:t>
      </w:r>
      <w:r/>
    </w:p>
    <w:p>
      <w:pPr>
        <w:pStyle w:val="694"/>
        <w:ind w:firstLine="708"/>
        <w:jc w:val="both"/>
      </w:pPr>
      <w:r>
        <w:t xml:space="preserve">&lt;*****&gt; Срок эксплуатации транспортного средства определяется:</w:t>
      </w:r>
      <w:r/>
    </w:p>
    <w:p>
      <w:pPr>
        <w:pStyle w:val="694"/>
        <w:ind w:firstLine="708"/>
        <w:jc w:val="both"/>
      </w:pPr>
      <w:r>
        <w:t xml:space="preserve">для транспортного средства, произведенного на территории Российской Федерации, -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  <w:r/>
    </w:p>
    <w:p>
      <w:pPr>
        <w:pStyle w:val="694"/>
        <w:ind w:firstLine="708"/>
        <w:jc w:val="both"/>
      </w:pPr>
      <w:r>
        <w:t xml:space="preserve">для транспортного средства, ввезенного на территорию Российской Федерации, - с 01 января года выпуска данного транспортного средства.</w:t>
      </w:r>
      <w:r/>
    </w:p>
    <w:p>
      <w:pPr>
        <w:pStyle w:val="694"/>
        <w:ind w:firstLine="708"/>
        <w:jc w:val="both"/>
      </w:pPr>
      <w:r>
        <w:t xml:space="preserve">В случае если дату первичной регистрации транспортного средства определить невозможно, то определение срока эксплуатации транспортного средства производится с 01 января года выпуска данного транспортного средства.</w:t>
      </w:r>
      <w:r/>
    </w:p>
    <w:p>
      <w:pPr>
        <w:pStyle w:val="694"/>
        <w:jc w:val="both"/>
      </w:pPr>
      <w:r/>
      <w:r/>
    </w:p>
    <w:p>
      <w:pPr>
        <w:pStyle w:val="694"/>
        <w:jc w:val="both"/>
      </w:pPr>
      <w:r/>
      <w:r/>
    </w:p>
    <w:p>
      <w:pPr>
        <w:pStyle w:val="694"/>
        <w:jc w:val="both"/>
        <w:spacing w:line="240" w:lineRule="exact"/>
      </w:pPr>
      <w:r>
        <w:t xml:space="preserve">Управляющий делами администрации </w:t>
      </w:r>
      <w:r/>
    </w:p>
    <w:p>
      <w:pPr>
        <w:pStyle w:val="694"/>
        <w:jc w:val="both"/>
        <w:spacing w:line="240" w:lineRule="exact"/>
      </w:pPr>
      <w:r>
        <w:t xml:space="preserve">Петровского </w:t>
      </w:r>
      <w:r>
        <w:t xml:space="preserve">городского округа</w:t>
      </w:r>
      <w:r>
        <w:t xml:space="preserve"> </w:t>
      </w:r>
      <w:r/>
    </w:p>
    <w:p>
      <w:pPr>
        <w:pStyle w:val="694"/>
        <w:jc w:val="both"/>
        <w:spacing w:line="240" w:lineRule="exact"/>
      </w:pPr>
      <w:r>
        <w:t xml:space="preserve">Ставропольского края                                                      </w:t>
      </w:r>
      <w:r>
        <w:t xml:space="preserve">  </w:t>
      </w:r>
      <w:r>
        <w:t xml:space="preserve">                  В.В.Редькин</w:t>
      </w:r>
      <w:r/>
    </w:p>
    <w:p>
      <w:pPr>
        <w:pStyle w:val="694"/>
        <w:jc w:val="both"/>
      </w:pPr>
      <w:r/>
      <w:r/>
    </w:p>
    <w:p>
      <w:pPr>
        <w:pStyle w:val="694"/>
      </w:pPr>
      <w:r/>
      <w:r/>
    </w:p>
    <w:p>
      <w:pPr>
        <w:pStyle w:val="694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7"/>
      </w:rPr>
      <w:framePr w:wrap="around" w:vAnchor="text" w:hAnchor="margin" w:xAlign="right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end"/>
    </w:r>
    <w:r>
      <w:rPr>
        <w:rStyle w:val="687"/>
      </w:rPr>
    </w:r>
    <w:r>
      <w:rPr>
        <w:rStyle w:val="687"/>
      </w:rPr>
    </w:r>
  </w:p>
  <w:p>
    <w:pPr>
      <w:pStyle w:val="68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3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7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540"/>
      </w:pPr>
      <w:rPr>
        <w:rFonts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340" w:hanging="360"/>
        <w:tabs>
          <w:tab w:val="num" w:pos="13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220" w:hanging="36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0" w:hanging="36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0" w:hanging="360"/>
        <w:tabs>
          <w:tab w:val="num" w:pos="6540" w:leader="none"/>
        </w:tabs>
      </w:pPr>
    </w:lvl>
  </w:abstractNum>
  <w:abstractNum w:abstractNumId="1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next w:val="667"/>
    <w:link w:val="667"/>
    <w:qFormat/>
    <w:pPr>
      <w:spacing w:after="200" w:line="276" w:lineRule="auto"/>
    </w:pPr>
    <w:rPr>
      <w:rFonts w:ascii="Times New Roman" w:hAnsi="Times New Roman" w:eastAsia="Times New Roman"/>
      <w:sz w:val="28"/>
      <w:szCs w:val="22"/>
      <w:lang w:val="ru-RU" w:eastAsia="en-US" w:bidi="ar-SA"/>
    </w:rPr>
  </w:style>
  <w:style w:type="paragraph" w:styleId="668">
    <w:name w:val="Заголовок 1"/>
    <w:basedOn w:val="667"/>
    <w:next w:val="667"/>
    <w:link w:val="675"/>
    <w:qFormat/>
    <w:pPr>
      <w:ind w:firstLine="8256"/>
      <w:jc w:val="center"/>
      <w:keepNext/>
      <w:spacing w:after="0" w:line="240" w:lineRule="auto"/>
      <w:outlineLvl w:val="0"/>
    </w:pPr>
    <w:rPr>
      <w:rFonts w:eastAsia="Calibri"/>
      <w:b/>
      <w:bCs/>
      <w:sz w:val="24"/>
      <w:szCs w:val="24"/>
      <w:lang w:val="en-US" w:eastAsia="ru-RU"/>
    </w:rPr>
  </w:style>
  <w:style w:type="paragraph" w:styleId="669">
    <w:name w:val="Заголовок 2"/>
    <w:basedOn w:val="667"/>
    <w:next w:val="667"/>
    <w:link w:val="676"/>
    <w:qFormat/>
    <w:pPr>
      <w:keepNext/>
      <w:spacing w:before="240" w:after="60" w:line="240" w:lineRule="auto"/>
      <w:outlineLvl w:val="1"/>
    </w:pPr>
    <w:rPr>
      <w:rFonts w:eastAsia="Calibri"/>
      <w:b/>
      <w:sz w:val="20"/>
      <w:szCs w:val="20"/>
      <w:lang w:val="en-US" w:eastAsia="ru-RU"/>
    </w:rPr>
  </w:style>
  <w:style w:type="paragraph" w:styleId="670">
    <w:name w:val="Заголовок 5"/>
    <w:basedOn w:val="667"/>
    <w:next w:val="667"/>
    <w:link w:val="700"/>
    <w:semiHidden/>
    <w:unhideWhenUsed/>
    <w:qFormat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71">
    <w:name w:val="Заголовок 8"/>
    <w:basedOn w:val="667"/>
    <w:next w:val="667"/>
    <w:link w:val="677"/>
    <w:qFormat/>
    <w:pPr>
      <w:jc w:val="center"/>
      <w:keepNext/>
      <w:spacing w:after="0" w:line="240" w:lineRule="auto"/>
      <w:outlineLvl w:val="7"/>
    </w:pPr>
    <w:rPr>
      <w:rFonts w:eastAsia="Calibri"/>
      <w:b/>
      <w:sz w:val="20"/>
      <w:szCs w:val="20"/>
      <w:lang w:val="en-US" w:eastAsia="ru-RU"/>
    </w:rPr>
  </w:style>
  <w:style w:type="character" w:styleId="672">
    <w:name w:val="Основной шрифт абзаца"/>
    <w:next w:val="672"/>
    <w:link w:val="667"/>
    <w:semiHidden/>
  </w:style>
  <w:style w:type="table" w:styleId="673">
    <w:name w:val="Обычная таблица"/>
    <w:next w:val="673"/>
    <w:link w:val="667"/>
    <w:semiHidden/>
    <w:tblPr/>
  </w:style>
  <w:style w:type="numbering" w:styleId="674">
    <w:name w:val="Нет списка"/>
    <w:next w:val="674"/>
    <w:link w:val="667"/>
    <w:semiHidden/>
  </w:style>
  <w:style w:type="character" w:styleId="675">
    <w:name w:val="Заголовок 1 Знак"/>
    <w:next w:val="675"/>
    <w:link w:val="668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styleId="676">
    <w:name w:val="Заголовок 2 Знак"/>
    <w:next w:val="676"/>
    <w:link w:val="669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styleId="677">
    <w:name w:val="Заголовок 8 Знак"/>
    <w:next w:val="677"/>
    <w:link w:val="671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678">
    <w:name w:val="Обычный (веб)"/>
    <w:basedOn w:val="667"/>
    <w:next w:val="678"/>
    <w:link w:val="667"/>
    <w:uiPriority w:val="9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679">
    <w:name w:val="Стандартный HTML"/>
    <w:basedOn w:val="667"/>
    <w:next w:val="679"/>
    <w:link w:val="680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/>
      <w:sz w:val="20"/>
      <w:szCs w:val="20"/>
      <w:lang w:val="en-US" w:eastAsia="ru-RU"/>
    </w:rPr>
  </w:style>
  <w:style w:type="character" w:styleId="680">
    <w:name w:val="Стандартный HTML Знак"/>
    <w:next w:val="680"/>
    <w:link w:val="679"/>
    <w:rPr>
      <w:rFonts w:ascii="Courier New" w:hAnsi="Courier New" w:cs="Courier New"/>
      <w:sz w:val="20"/>
      <w:szCs w:val="20"/>
      <w:lang w:val="en-US" w:eastAsia="ru-RU"/>
    </w:rPr>
  </w:style>
  <w:style w:type="paragraph" w:styleId="681">
    <w:name w:val="ConsPlusNormal"/>
    <w:next w:val="681"/>
    <w:link w:val="667"/>
    <w:pPr>
      <w:widowControl w:val="off"/>
    </w:pPr>
    <w:rPr>
      <w:rFonts w:ascii="Arial" w:hAnsi="Arial" w:cs="Arial"/>
      <w:lang w:val="ru-RU" w:eastAsia="ru-RU" w:bidi="ar-SA"/>
    </w:rPr>
  </w:style>
  <w:style w:type="character" w:styleId="682">
    <w:name w:val="blk"/>
    <w:next w:val="682"/>
    <w:link w:val="667"/>
    <w:rPr>
      <w:rFonts w:cs="Times New Roman"/>
    </w:rPr>
  </w:style>
  <w:style w:type="paragraph" w:styleId="683">
    <w:name w:val="Основной текст 3"/>
    <w:basedOn w:val="667"/>
    <w:next w:val="683"/>
    <w:link w:val="684"/>
    <w:semiHidden/>
    <w:pPr>
      <w:ind w:right="-108"/>
      <w:jc w:val="center"/>
      <w:spacing w:after="0" w:line="240" w:lineRule="auto"/>
    </w:pPr>
    <w:rPr>
      <w:rFonts w:eastAsia="Calibri"/>
      <w:b/>
      <w:sz w:val="20"/>
      <w:szCs w:val="20"/>
      <w:lang w:val="en-US" w:eastAsia="ru-RU"/>
    </w:rPr>
  </w:style>
  <w:style w:type="character" w:styleId="684">
    <w:name w:val="Основной текст 3 Знак"/>
    <w:next w:val="684"/>
    <w:link w:val="683"/>
    <w:semiHidden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685">
    <w:name w:val="List Paragraph"/>
    <w:basedOn w:val="667"/>
    <w:next w:val="685"/>
    <w:link w:val="667"/>
    <w:pPr>
      <w:contextualSpacing/>
      <w:ind w:left="720"/>
    </w:pPr>
    <w:rPr>
      <w:rFonts w:ascii="Calibri" w:hAnsi="Calibri"/>
      <w:sz w:val="22"/>
    </w:rPr>
  </w:style>
  <w:style w:type="paragraph" w:styleId="686">
    <w:name w:val="Верхний колонтитул"/>
    <w:basedOn w:val="667"/>
    <w:next w:val="686"/>
    <w:link w:val="667"/>
    <w:pPr>
      <w:tabs>
        <w:tab w:val="center" w:pos="4677" w:leader="none"/>
        <w:tab w:val="right" w:pos="9355" w:leader="none"/>
      </w:tabs>
    </w:pPr>
  </w:style>
  <w:style w:type="character" w:styleId="687">
    <w:name w:val="Номер страницы"/>
    <w:basedOn w:val="672"/>
    <w:next w:val="687"/>
    <w:link w:val="667"/>
  </w:style>
  <w:style w:type="paragraph" w:styleId="688">
    <w:name w:val="Нижний колонтитул"/>
    <w:basedOn w:val="667"/>
    <w:next w:val="688"/>
    <w:link w:val="667"/>
    <w:pPr>
      <w:tabs>
        <w:tab w:val="center" w:pos="4677" w:leader="none"/>
        <w:tab w:val="right" w:pos="9355" w:leader="none"/>
      </w:tabs>
    </w:pPr>
  </w:style>
  <w:style w:type="paragraph" w:styleId="689">
    <w:name w:val="Текст выноски"/>
    <w:basedOn w:val="667"/>
    <w:next w:val="689"/>
    <w:link w:val="667"/>
    <w:semiHidden/>
    <w:rPr>
      <w:rFonts w:ascii="Tahoma" w:hAnsi="Tahoma" w:cs="Tahoma"/>
      <w:sz w:val="16"/>
      <w:szCs w:val="16"/>
    </w:rPr>
  </w:style>
  <w:style w:type="paragraph" w:styleId="690">
    <w:name w:val="Название"/>
    <w:basedOn w:val="667"/>
    <w:next w:val="690"/>
    <w:link w:val="691"/>
    <w:qFormat/>
    <w:pPr>
      <w:jc w:val="center"/>
      <w:spacing w:after="0" w:line="240" w:lineRule="auto"/>
    </w:pPr>
    <w:rPr>
      <w:b/>
      <w:bCs/>
      <w:sz w:val="32"/>
      <w:szCs w:val="24"/>
      <w:lang w:val="en-US" w:eastAsia="en-US"/>
    </w:rPr>
  </w:style>
  <w:style w:type="character" w:styleId="691">
    <w:name w:val="Название Знак"/>
    <w:next w:val="691"/>
    <w:link w:val="690"/>
    <w:rPr>
      <w:rFonts w:ascii="Times New Roman" w:hAnsi="Times New Roman" w:eastAsia="Times New Roman"/>
      <w:b/>
      <w:bCs/>
      <w:sz w:val="32"/>
      <w:szCs w:val="24"/>
    </w:rPr>
  </w:style>
  <w:style w:type="table" w:styleId="692">
    <w:name w:val="Сетка таблицы"/>
    <w:basedOn w:val="673"/>
    <w:next w:val="692"/>
    <w:link w:val="667"/>
    <w:tblPr/>
  </w:style>
  <w:style w:type="character" w:styleId="693">
    <w:name w:val="show-zone"/>
    <w:next w:val="693"/>
    <w:link w:val="667"/>
  </w:style>
  <w:style w:type="paragraph" w:styleId="694">
    <w:name w:val="Без интервала"/>
    <w:next w:val="694"/>
    <w:link w:val="667"/>
    <w:uiPriority w:val="1"/>
    <w:qFormat/>
    <w:rPr>
      <w:rFonts w:ascii="Times New Roman" w:hAnsi="Times New Roman" w:eastAsia="Times New Roman"/>
      <w:sz w:val="28"/>
      <w:szCs w:val="22"/>
      <w:lang w:val="ru-RU" w:eastAsia="en-US" w:bidi="ar-SA"/>
    </w:rPr>
  </w:style>
  <w:style w:type="paragraph" w:styleId="695">
    <w:name w:val="Style7"/>
    <w:basedOn w:val="667"/>
    <w:next w:val="695"/>
    <w:link w:val="667"/>
    <w:uiPriority w:val="99"/>
    <w:pPr>
      <w:spacing w:after="0" w:line="240" w:lineRule="auto"/>
      <w:widowControl w:val="off"/>
    </w:pPr>
    <w:rPr>
      <w:sz w:val="24"/>
      <w:szCs w:val="24"/>
      <w:lang w:eastAsia="ru-RU"/>
    </w:rPr>
  </w:style>
  <w:style w:type="character" w:styleId="696">
    <w:name w:val="Font Style21"/>
    <w:next w:val="696"/>
    <w:link w:val="667"/>
    <w:uiPriority w:val="99"/>
    <w:rPr>
      <w:rFonts w:ascii="Times New Roman" w:hAnsi="Times New Roman" w:cs="Times New Roman"/>
      <w:sz w:val="26"/>
      <w:szCs w:val="26"/>
    </w:rPr>
  </w:style>
  <w:style w:type="paragraph" w:styleId="697">
    <w:name w:val="Основной текст"/>
    <w:basedOn w:val="667"/>
    <w:next w:val="697"/>
    <w:link w:val="698"/>
    <w:pPr>
      <w:spacing w:after="120"/>
    </w:pPr>
    <w:rPr>
      <w:lang w:val="en-US"/>
    </w:rPr>
  </w:style>
  <w:style w:type="character" w:styleId="698">
    <w:name w:val="Основной текст Знак"/>
    <w:next w:val="698"/>
    <w:link w:val="697"/>
    <w:rPr>
      <w:rFonts w:ascii="Times New Roman" w:hAnsi="Times New Roman" w:eastAsia="Times New Roman"/>
      <w:sz w:val="28"/>
      <w:szCs w:val="22"/>
      <w:lang w:eastAsia="en-US"/>
    </w:rPr>
  </w:style>
  <w:style w:type="paragraph" w:styleId="699">
    <w:name w:val="ConsNonformat"/>
    <w:next w:val="699"/>
    <w:link w:val="667"/>
    <w:uiPriority w:val="9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00">
    <w:name w:val="Заголовок 5 Знак"/>
    <w:next w:val="700"/>
    <w:link w:val="670"/>
    <w:semiHidden/>
    <w:rPr>
      <w:rFonts w:eastAsia="Times New Roman"/>
      <w:b/>
      <w:bCs/>
      <w:i/>
      <w:iCs/>
      <w:sz w:val="26"/>
      <w:szCs w:val="26"/>
    </w:rPr>
  </w:style>
  <w:style w:type="paragraph" w:styleId="701">
    <w:name w:val="Основной текст с отступом 3"/>
    <w:basedOn w:val="667"/>
    <w:next w:val="701"/>
    <w:link w:val="702"/>
    <w:pPr>
      <w:ind w:firstLine="840"/>
      <w:jc w:val="both"/>
      <w:spacing w:after="0" w:line="240" w:lineRule="auto"/>
    </w:pPr>
    <w:rPr>
      <w:szCs w:val="24"/>
      <w:lang w:val="en-US" w:eastAsia="en-US"/>
    </w:rPr>
  </w:style>
  <w:style w:type="character" w:styleId="702">
    <w:name w:val="Основной текст с отступом 3 Знак"/>
    <w:next w:val="702"/>
    <w:link w:val="701"/>
    <w:rPr>
      <w:rFonts w:ascii="Times New Roman" w:hAnsi="Times New Roman" w:eastAsia="Times New Roman"/>
      <w:sz w:val="28"/>
      <w:szCs w:val="24"/>
    </w:rPr>
  </w:style>
  <w:style w:type="paragraph" w:styleId="703">
    <w:name w:val="Основной текст с отступом"/>
    <w:basedOn w:val="667"/>
    <w:next w:val="703"/>
    <w:link w:val="704"/>
    <w:pPr>
      <w:ind w:firstLine="700"/>
      <w:jc w:val="both"/>
      <w:spacing w:after="0" w:line="240" w:lineRule="auto"/>
    </w:pPr>
    <w:rPr>
      <w:szCs w:val="24"/>
      <w:lang w:val="en-US" w:eastAsia="en-US"/>
    </w:rPr>
  </w:style>
  <w:style w:type="character" w:styleId="704">
    <w:name w:val="Основной текст с отступом Знак"/>
    <w:next w:val="704"/>
    <w:link w:val="703"/>
    <w:rPr>
      <w:rFonts w:ascii="Times New Roman" w:hAnsi="Times New Roman" w:eastAsia="Times New Roman"/>
      <w:sz w:val="28"/>
      <w:szCs w:val="24"/>
    </w:rPr>
  </w:style>
  <w:style w:type="paragraph" w:styleId="705">
    <w:name w:val="Основной текст с отступом 2"/>
    <w:basedOn w:val="667"/>
    <w:next w:val="705"/>
    <w:link w:val="706"/>
    <w:pPr>
      <w:ind w:firstLine="700"/>
      <w:jc w:val="both"/>
      <w:spacing w:after="0" w:line="240" w:lineRule="auto"/>
    </w:pPr>
    <w:rPr>
      <w:szCs w:val="24"/>
      <w:u w:val="single"/>
      <w:lang w:val="en-US" w:eastAsia="en-US"/>
    </w:rPr>
  </w:style>
  <w:style w:type="character" w:styleId="706">
    <w:name w:val="Основной текст с отступом 2 Знак"/>
    <w:next w:val="706"/>
    <w:link w:val="705"/>
    <w:rPr>
      <w:rFonts w:ascii="Times New Roman" w:hAnsi="Times New Roman" w:eastAsia="Times New Roman"/>
      <w:sz w:val="28"/>
      <w:szCs w:val="24"/>
      <w:u w:val="single"/>
    </w:rPr>
  </w:style>
  <w:style w:type="paragraph" w:styleId="707">
    <w:name w:val="Основной текст 2"/>
    <w:basedOn w:val="667"/>
    <w:next w:val="707"/>
    <w:link w:val="708"/>
    <w:pPr>
      <w:spacing w:after="120" w:line="480" w:lineRule="auto"/>
    </w:pPr>
    <w:rPr>
      <w:szCs w:val="20"/>
      <w:lang w:val="en-US" w:eastAsia="en-US"/>
    </w:rPr>
  </w:style>
  <w:style w:type="character" w:styleId="708">
    <w:name w:val="Основной текст 2 Знак"/>
    <w:next w:val="708"/>
    <w:link w:val="707"/>
    <w:rPr>
      <w:rFonts w:ascii="Times New Roman" w:hAnsi="Times New Roman" w:eastAsia="Times New Roman" w:cs="Arial"/>
      <w:sz w:val="28"/>
    </w:rPr>
  </w:style>
  <w:style w:type="character" w:styleId="709">
    <w:name w:val="Гиперссылка"/>
    <w:next w:val="709"/>
    <w:link w:val="667"/>
    <w:rPr>
      <w:color w:val="0000ff"/>
      <w:u w:val="single"/>
    </w:rPr>
  </w:style>
  <w:style w:type="paragraph" w:styleId="710">
    <w:name w:val="Текст сноски"/>
    <w:basedOn w:val="667"/>
    <w:next w:val="710"/>
    <w:link w:val="711"/>
    <w:pPr>
      <w:spacing w:after="0" w:line="240" w:lineRule="auto"/>
    </w:pPr>
    <w:rPr>
      <w:sz w:val="20"/>
      <w:szCs w:val="20"/>
      <w:lang w:val="en-US" w:eastAsia="en-US"/>
    </w:rPr>
  </w:style>
  <w:style w:type="character" w:styleId="711">
    <w:name w:val="Текст сноски Знак"/>
    <w:next w:val="711"/>
    <w:link w:val="710"/>
    <w:rPr>
      <w:rFonts w:ascii="Times New Roman" w:hAnsi="Times New Roman" w:eastAsia="Times New Roman" w:cs="Arial"/>
    </w:rPr>
  </w:style>
  <w:style w:type="character" w:styleId="712">
    <w:name w:val="Знак сноски"/>
    <w:next w:val="712"/>
    <w:link w:val="667"/>
    <w:rPr>
      <w:vertAlign w:val="superscript"/>
    </w:rPr>
  </w:style>
  <w:style w:type="paragraph" w:styleId="713">
    <w:name w:val="ConsPlusTitle"/>
    <w:next w:val="713"/>
    <w:link w:val="667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character" w:styleId="714">
    <w:name w:val="Строгий"/>
    <w:next w:val="714"/>
    <w:link w:val="667"/>
    <w:qFormat/>
    <w:rPr>
      <w:b/>
      <w:bCs/>
    </w:rPr>
  </w:style>
  <w:style w:type="character" w:styleId="715">
    <w:name w:val="grame"/>
    <w:basedOn w:val="672"/>
    <w:next w:val="715"/>
    <w:link w:val="667"/>
  </w:style>
  <w:style w:type="paragraph" w:styleId="716">
    <w:name w:val="Знак Знак Знак1 Знак Знак Знак"/>
    <w:basedOn w:val="667"/>
    <w:next w:val="716"/>
    <w:link w:val="6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717">
    <w:name w:val="Текст концевой сноски"/>
    <w:basedOn w:val="667"/>
    <w:next w:val="717"/>
    <w:link w:val="718"/>
    <w:pPr>
      <w:spacing w:after="0" w:line="240" w:lineRule="auto"/>
    </w:pPr>
    <w:rPr>
      <w:sz w:val="20"/>
      <w:szCs w:val="20"/>
      <w:lang w:val="en-US" w:eastAsia="en-US"/>
    </w:rPr>
  </w:style>
  <w:style w:type="character" w:styleId="718">
    <w:name w:val="Текст концевой сноски Знак"/>
    <w:next w:val="718"/>
    <w:link w:val="717"/>
    <w:rPr>
      <w:rFonts w:ascii="Times New Roman" w:hAnsi="Times New Roman" w:eastAsia="Times New Roman" w:cs="Arial"/>
    </w:rPr>
  </w:style>
  <w:style w:type="character" w:styleId="719">
    <w:name w:val="Знак концевой сноски"/>
    <w:next w:val="719"/>
    <w:link w:val="667"/>
    <w:rPr>
      <w:vertAlign w:val="superscript"/>
    </w:rPr>
  </w:style>
  <w:style w:type="paragraph" w:styleId="720">
    <w:name w:val=" Знак"/>
    <w:basedOn w:val="667"/>
    <w:next w:val="720"/>
    <w:link w:val="66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721">
    <w:name w:val="Т-1,5"/>
    <w:basedOn w:val="667"/>
    <w:next w:val="721"/>
    <w:link w:val="667"/>
    <w:pPr>
      <w:ind w:firstLine="720"/>
      <w:jc w:val="both"/>
      <w:spacing w:after="0" w:line="360" w:lineRule="auto"/>
    </w:pPr>
    <w:rPr>
      <w:szCs w:val="20"/>
      <w:lang w:eastAsia="ru-RU"/>
    </w:rPr>
  </w:style>
  <w:style w:type="paragraph" w:styleId="722">
    <w:name w:val="ConsNormal"/>
    <w:next w:val="722"/>
    <w:link w:val="667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723">
    <w:name w:val="ConsTitle"/>
    <w:next w:val="723"/>
    <w:link w:val="667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724">
    <w:name w:val="ConsPlusNonformat"/>
    <w:next w:val="724"/>
    <w:link w:val="66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25">
    <w:name w:val="apple-converted-space"/>
    <w:basedOn w:val="672"/>
    <w:next w:val="725"/>
    <w:link w:val="667"/>
  </w:style>
  <w:style w:type="character" w:styleId="726">
    <w:name w:val="num"/>
    <w:basedOn w:val="672"/>
    <w:next w:val="726"/>
    <w:link w:val="667"/>
  </w:style>
  <w:style w:type="paragraph" w:styleId="727">
    <w:name w:val="ConsPlusJurTerm"/>
    <w:next w:val="727"/>
    <w:link w:val="667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character" w:styleId="1872" w:default="1">
    <w:name w:val="Default Paragraph Font"/>
    <w:uiPriority w:val="1"/>
    <w:semiHidden/>
    <w:unhideWhenUsed/>
  </w:style>
  <w:style w:type="numbering" w:styleId="1873" w:default="1">
    <w:name w:val="No List"/>
    <w:uiPriority w:val="99"/>
    <w:semiHidden/>
    <w:unhideWhenUsed/>
  </w:style>
  <w:style w:type="table" w:styleId="1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HP</dc:creator>
  <cp:revision>3</cp:revision>
  <dcterms:created xsi:type="dcterms:W3CDTF">2019-05-13T08:02:00Z</dcterms:created>
  <dcterms:modified xsi:type="dcterms:W3CDTF">2024-03-20T13:05:46Z</dcterms:modified>
  <cp:version>786432</cp:version>
</cp:coreProperties>
</file>