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3"/>
        <w:rPr>
          <w:szCs w:val="32"/>
        </w:rPr>
      </w:pPr>
      <w:r>
        <w:rPr>
          <w:szCs w:val="32"/>
        </w:rPr>
        <w:t xml:space="preserve">П О С Т А Н О В Л Е Н И Е</w:t>
      </w:r>
      <w:r>
        <w:rPr>
          <w:szCs w:val="32"/>
        </w:rPr>
      </w:r>
    </w:p>
    <w:p>
      <w:pPr>
        <w:pStyle w:val="6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rPr>
          <w:b w:val="0"/>
          <w:sz w:val="24"/>
        </w:rPr>
      </w:pPr>
      <w:r>
        <w:rPr>
          <w:b w:val="0"/>
          <w:sz w:val="24"/>
        </w:rPr>
        <w:t xml:space="preserve">АДМИНИСТРАЦИИ ПЕТРОВСКОГО </w:t>
      </w:r>
      <w:r>
        <w:rPr>
          <w:b w:val="0"/>
          <w:sz w:val="24"/>
        </w:rPr>
        <w:t xml:space="preserve">ГОРОДСКОГО ОКРУГА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</w:r>
      <w:r>
        <w:rPr>
          <w:b w:val="0"/>
          <w:sz w:val="24"/>
        </w:rPr>
      </w:r>
    </w:p>
    <w:p>
      <w:pPr>
        <w:pStyle w:val="683"/>
        <w:rPr>
          <w:b w:val="0"/>
          <w:sz w:val="24"/>
        </w:rPr>
      </w:pPr>
      <w:r>
        <w:rPr>
          <w:b w:val="0"/>
          <w:sz w:val="24"/>
        </w:rPr>
        <w:t xml:space="preserve">СТАВРОПОЛЬСКОГО КРАЯ</w:t>
      </w:r>
      <w:r>
        <w:rPr>
          <w:b w:val="0"/>
          <w:sz w:val="24"/>
        </w:rPr>
      </w:r>
    </w:p>
    <w:p>
      <w:pPr>
        <w:pStyle w:val="683"/>
        <w:rPr>
          <w:b w:val="0"/>
          <w:sz w:val="24"/>
        </w:rPr>
      </w:pPr>
      <w:r>
        <w:rPr>
          <w:b w:val="0"/>
          <w:sz w:val="24"/>
        </w:rPr>
      </w:r>
      <w:r>
        <w:rPr>
          <w:b w:val="0"/>
          <w:sz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83"/>
              <w:ind w:left="-108"/>
              <w:jc w:val="both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17 июня 2019 г.</w:t>
            </w:r>
            <w:r>
              <w:rPr>
                <w:b w:val="0"/>
                <w:sz w:val="24"/>
                <w:lang w:val="ru-RU" w:eastAsia="ru-RU"/>
              </w:rPr>
            </w:r>
            <w:r>
              <w:rPr>
                <w:b w:val="0"/>
                <w:sz w:val="24"/>
                <w:lang w:val="ru-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г. Светлоград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83"/>
              <w:jc w:val="right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№ 1298</w:t>
            </w:r>
            <w:r>
              <w:rPr>
                <w:b w:val="0"/>
                <w:sz w:val="24"/>
                <w:lang w:val="ru-RU" w:eastAsia="ru-RU"/>
              </w:rPr>
            </w:r>
            <w:r>
              <w:rPr>
                <w:b w:val="0"/>
                <w:sz w:val="24"/>
                <w:lang w:val="ru-RU" w:eastAsia="ru-RU"/>
              </w:rPr>
            </w:r>
          </w:p>
        </w:tc>
      </w:tr>
    </w:tbl>
    <w:p>
      <w:pPr>
        <w:pStyle w:val="651"/>
        <w:spacing w:line="240" w:lineRule="exact"/>
      </w:pPr>
      <w:r/>
      <w:r/>
    </w:p>
    <w:p>
      <w:pPr>
        <w:pStyle w:val="661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Петровского городского округа Ставропол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</w:t>
      </w:r>
      <w:r>
        <w:rPr>
          <w:rFonts w:ascii="Times New Roman" w:hAnsi="Times New Roman" w:cs="Times New Roman"/>
          <w:sz w:val="28"/>
          <w:szCs w:val="28"/>
        </w:rPr>
        <w:t xml:space="preserve"> 2018 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1982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плана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по</w:t>
      </w:r>
      <w:r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редакции от 18 марта 2019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677)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дорожного хозяйства и транспорта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</w:t>
      </w:r>
      <w:r>
        <w:rPr>
          <w:rFonts w:ascii="Times New Roman" w:hAnsi="Times New Roman" w:cs="Times New Roman"/>
          <w:sz w:val="28"/>
          <w:szCs w:val="28"/>
        </w:rPr>
        <w:t xml:space="preserve">ля 2019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76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о/д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sz w:val="28"/>
          <w:szCs w:val="28"/>
        </w:rPr>
        <w:t xml:space="preserve">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субсидий из бюджета Ставропольского края за счёт средств дорожного фонда Ставропольского края бюджетам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на софинансирование мероприятий по </w:t>
      </w:r>
      <w:r>
        <w:rPr>
          <w:rFonts w:ascii="Times New Roman" w:hAnsi="Times New Roman" w:cs="Times New Roman"/>
          <w:sz w:val="28"/>
          <w:szCs w:val="28"/>
        </w:rPr>
        <w:t xml:space="preserve">дорожной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1"/>
        <w:jc w:val="both"/>
      </w:pPr>
      <w:r/>
      <w:r/>
    </w:p>
    <w:p>
      <w:pPr>
        <w:pStyle w:val="651"/>
        <w:jc w:val="both"/>
      </w:pPr>
      <w:r/>
      <w:r/>
    </w:p>
    <w:p>
      <w:pPr>
        <w:pStyle w:val="651"/>
        <w:jc w:val="both"/>
      </w:pPr>
      <w:r>
        <w:t xml:space="preserve">ПОСТАНОВЛЯЕТ:</w:t>
        <w:tab/>
      </w:r>
      <w:r/>
    </w:p>
    <w:p>
      <w:pPr>
        <w:pStyle w:val="651"/>
        <w:jc w:val="both"/>
      </w:pPr>
      <w:r/>
      <w:r/>
    </w:p>
    <w:p>
      <w:pPr>
        <w:pStyle w:val="651"/>
        <w:jc w:val="both"/>
      </w:pPr>
      <w:r/>
      <w:r/>
    </w:p>
    <w:p>
      <w:pPr>
        <w:pStyle w:val="66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Петровского городского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08 ноября 2018 г. № 1982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плана проведения работ по ремонту автомобильных дорог общего пользования местного значения, находящихся в собственности Петровского городского округа Ставропольского края, на 201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18 марта 2019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677)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лан </w:t>
      </w:r>
      <w:r>
        <w:rPr>
          <w:rFonts w:ascii="Times New Roman" w:hAnsi="Times New Roman" w:cs="Times New Roman"/>
          <w:sz w:val="28"/>
          <w:szCs w:val="28"/>
        </w:rPr>
        <w:t xml:space="preserve">проведения работ по </w:t>
      </w:r>
      <w:r>
        <w:rPr>
          <w:rFonts w:ascii="Times New Roman" w:hAnsi="Times New Roman" w:cs="Times New Roman"/>
          <w:sz w:val="28"/>
          <w:szCs w:val="28"/>
        </w:rPr>
        <w:t xml:space="preserve">ремонт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</w:t>
      </w:r>
      <w:r>
        <w:rPr>
          <w:rFonts w:ascii="Times New Roman" w:hAnsi="Times New Roman" w:cs="Times New Roman"/>
          <w:sz w:val="28"/>
          <w:szCs w:val="28"/>
        </w:rPr>
        <w:t xml:space="preserve">ть</w:t>
      </w:r>
      <w:r>
        <w:rPr>
          <w:rFonts w:ascii="Times New Roman" w:hAnsi="Times New Roman" w:cs="Times New Roman"/>
          <w:sz w:val="28"/>
          <w:szCs w:val="28"/>
        </w:rPr>
        <w:t xml:space="preserve"> в прилагаемой редакции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Пункт 2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Установить администрации Петровского городско</w:t>
      </w:r>
      <w:r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расходное обязательство на 2019 год по ремонту автомобильных дорог общего пользования местного значения, находящихся в собственности Петровского городского округа Ставропольского края, предусмотренное планом ремонта, в сумме </w:t>
      </w:r>
      <w:r>
        <w:rPr>
          <w:rFonts w:ascii="Times New Roman" w:hAnsi="Times New Roman" w:cs="Times New Roman"/>
          <w:sz w:val="28"/>
          <w:szCs w:val="28"/>
        </w:rPr>
        <w:t xml:space="preserve">108118400</w:t>
      </w:r>
      <w:r>
        <w:rPr>
          <w:rFonts w:ascii="Times New Roman" w:hAnsi="Times New Roman" w:cs="Times New Roman"/>
          <w:sz w:val="28"/>
          <w:szCs w:val="28"/>
        </w:rPr>
        <w:t xml:space="preserve">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в том числе за счёт средств дорожного фонда Ставропольского края, предоставленных в форме субсидии </w:t>
      </w:r>
      <w:r>
        <w:rPr>
          <w:rFonts w:ascii="Times New Roman" w:hAnsi="Times New Roman" w:cs="Times New Roman"/>
          <w:sz w:val="28"/>
          <w:szCs w:val="28"/>
        </w:rPr>
        <w:t xml:space="preserve">102712469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за счёт средств бюджета Петровского городского округа Ставропо</w:t>
      </w:r>
      <w:r>
        <w:rPr>
          <w:rFonts w:ascii="Times New Roman" w:hAnsi="Times New Roman" w:cs="Times New Roman"/>
          <w:sz w:val="28"/>
          <w:szCs w:val="28"/>
        </w:rPr>
        <w:t xml:space="preserve">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5405930,05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В пункте 3 слова «равный </w:t>
      </w:r>
      <w:r>
        <w:rPr>
          <w:rFonts w:ascii="Times New Roman" w:hAnsi="Times New Roman" w:cs="Times New Roman"/>
          <w:sz w:val="28"/>
          <w:szCs w:val="28"/>
        </w:rPr>
        <w:t xml:space="preserve">23751</w:t>
      </w:r>
      <w:r>
        <w:rPr>
          <w:rFonts w:ascii="Times New Roman" w:hAnsi="Times New Roman" w:cs="Times New Roman"/>
          <w:sz w:val="28"/>
          <w:szCs w:val="28"/>
        </w:rPr>
        <w:t xml:space="preserve"> метр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равный </w:t>
      </w:r>
      <w:r>
        <w:rPr>
          <w:rFonts w:ascii="Times New Roman" w:hAnsi="Times New Roman" w:cs="Times New Roman"/>
          <w:sz w:val="28"/>
          <w:szCs w:val="28"/>
        </w:rPr>
        <w:t xml:space="preserve">15353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метр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1"/>
        <w:ind w:firstLine="709"/>
        <w:jc w:val="both"/>
        <w:rPr>
          <w:rFonts w:cs="Times New Roman"/>
          <w:szCs w:val="28"/>
        </w:rPr>
      </w:pPr>
      <w:r>
        <w:t xml:space="preserve">2</w:t>
      </w:r>
      <w:r>
        <w:t xml:space="preserve">. </w:t>
      </w:r>
      <w:r>
        <w:rPr>
          <w:rFonts w:cs="Times New Roman"/>
          <w:szCs w:val="28"/>
        </w:rPr>
        <w:t xml:space="preserve">Контроль за выполнением настоящего постановления возложить на первого заместителя главы администрации Петровского городского округа Ставропольского края Бабыкина А.И.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Style w:val="651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1"/>
        <w:ind w:firstLine="709"/>
        <w:jc w:val="both"/>
      </w:pPr>
      <w:r>
        <w:t xml:space="preserve">3</w:t>
      </w:r>
      <w:r>
        <w:t xml:space="preserve">. Настоящее постановление</w:t>
      </w:r>
      <w:r>
        <w:t xml:space="preserve"> вступает в силу</w:t>
      </w:r>
      <w:r>
        <w:t xml:space="preserve"> с</w:t>
      </w:r>
      <w:r>
        <w:t xml:space="preserve">о дня его</w:t>
      </w:r>
      <w:r>
        <w:t xml:space="preserve"> подписания</w:t>
      </w:r>
      <w:r>
        <w:t xml:space="preserve">.</w:t>
      </w:r>
      <w:r/>
    </w:p>
    <w:p>
      <w:pPr>
        <w:pStyle w:val="681"/>
        <w:ind w:right="0"/>
        <w:spacing w:line="240" w:lineRule="exact"/>
        <w:widowControl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</w:r>
      <w:r>
        <w:rPr>
          <w:rFonts w:ascii="Times New Roman" w:hAnsi="Times New Roman" w:cs="Arial"/>
          <w:sz w:val="28"/>
          <w:szCs w:val="28"/>
        </w:rPr>
      </w:r>
    </w:p>
    <w:p>
      <w:pPr>
        <w:pStyle w:val="681"/>
        <w:ind w:right="0"/>
        <w:spacing w:line="240" w:lineRule="exact"/>
        <w:widowControl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</w:r>
      <w:r>
        <w:rPr>
          <w:rFonts w:ascii="Times New Roman" w:hAnsi="Times New Roman" w:cs="Arial"/>
          <w:sz w:val="28"/>
          <w:szCs w:val="28"/>
        </w:rPr>
      </w:r>
    </w:p>
    <w:p>
      <w:pPr>
        <w:pStyle w:val="651"/>
        <w:spacing w:line="240" w:lineRule="exact"/>
        <w:rPr>
          <w:szCs w:val="28"/>
        </w:rPr>
      </w:pPr>
      <w:r>
        <w:rPr>
          <w:szCs w:val="28"/>
        </w:rPr>
        <w:t xml:space="preserve">Глава Петровского</w:t>
      </w:r>
      <w:r>
        <w:rPr>
          <w:szCs w:val="28"/>
        </w:rPr>
      </w:r>
    </w:p>
    <w:p>
      <w:pPr>
        <w:pStyle w:val="651"/>
        <w:spacing w:line="240" w:lineRule="exact"/>
        <w:rPr>
          <w:szCs w:val="28"/>
        </w:rPr>
      </w:pPr>
      <w:r>
        <w:rPr>
          <w:szCs w:val="28"/>
        </w:rPr>
        <w:t xml:space="preserve">городского округа                                                             </w:t>
      </w:r>
      <w:r>
        <w:rPr>
          <w:szCs w:val="28"/>
        </w:rPr>
      </w:r>
    </w:p>
    <w:p>
      <w:pPr>
        <w:pStyle w:val="651"/>
        <w:spacing w:line="240" w:lineRule="exact"/>
        <w:rPr>
          <w:szCs w:val="28"/>
        </w:rPr>
      </w:pPr>
      <w:r>
        <w:rPr>
          <w:szCs w:val="28"/>
        </w:rPr>
        <w:t xml:space="preserve">Ставропольского края                                                                    А.А.Захарченко</w:t>
      </w:r>
      <w:r>
        <w:rPr>
          <w:szCs w:val="28"/>
        </w:rPr>
      </w:r>
    </w:p>
    <w:p>
      <w:pPr>
        <w:pStyle w:val="681"/>
        <w:ind w:right="0"/>
        <w:jc w:val="both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1"/>
        <w:ind w:right="0"/>
        <w:jc w:val="both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1"/>
        <w:jc w:val="both"/>
        <w:spacing w:line="240" w:lineRule="exact"/>
        <w:rPr>
          <w:rFonts w:cs="Times New Roman"/>
          <w:color w:val="ffffff"/>
          <w:szCs w:val="28"/>
        </w:rPr>
      </w:pPr>
      <w:r>
        <w:rPr>
          <w:rFonts w:cs="Times New Roman"/>
          <w:color w:val="ffffff"/>
          <w:szCs w:val="28"/>
        </w:rPr>
        <w:t xml:space="preserve">ипального хозяйства администрации Петровского городского округа Ставропольского края                                                                                                                   </w:t>
      </w:r>
      <w:r>
        <w:rPr>
          <w:rFonts w:cs="Times New Roman"/>
          <w:color w:val="ffffff"/>
          <w:szCs w:val="28"/>
        </w:rPr>
      </w:r>
    </w:p>
    <w:p>
      <w:pPr>
        <w:pStyle w:val="651"/>
        <w:jc w:val="right"/>
        <w:spacing w:line="240" w:lineRule="exact"/>
        <w:rPr>
          <w:rFonts w:cs="Times New Roman"/>
          <w:color w:val="ffffff"/>
          <w:szCs w:val="28"/>
        </w:rPr>
        <w:sectPr>
          <w:headerReference w:type="even" r:id="rId9"/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rFonts w:cs="Times New Roman"/>
          <w:color w:val="ffffff"/>
          <w:szCs w:val="28"/>
        </w:rPr>
        <w:t xml:space="preserve">                                                                                                             Е.В.Портяо</w:t>
      </w:r>
      <w:r>
        <w:rPr>
          <w:rFonts w:cs="Times New Roman"/>
          <w:color w:val="ffffff"/>
          <w:szCs w:val="28"/>
        </w:rPr>
      </w:r>
      <w:r>
        <w:rPr>
          <w:rFonts w:cs="Times New Roman"/>
          <w:color w:val="ffffff"/>
          <w:szCs w:val="28"/>
        </w:rPr>
      </w:r>
    </w:p>
    <w:tbl>
      <w:tblPr>
        <w:tblW w:w="1442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747"/>
        <w:gridCol w:w="467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47" w:type="dxa"/>
            <w:vAlign w:val="top"/>
            <w:textDirection w:val="lrTb"/>
            <w:noWrap w:val="false"/>
          </w:tcPr>
          <w:p>
            <w:pPr>
              <w:pStyle w:val="651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br w:type="page" w:clear="all"/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Утвержден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47" w:type="dxa"/>
            <w:vAlign w:val="top"/>
            <w:textDirection w:val="lrTb"/>
            <w:noWrap w:val="false"/>
          </w:tcPr>
          <w:p>
            <w:pPr>
              <w:pStyle w:val="651"/>
              <w:spacing w:line="240" w:lineRule="exac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9" w:type="dxa"/>
            <w:vAlign w:val="top"/>
            <w:textDirection w:val="lrTb"/>
            <w:noWrap w:val="false"/>
          </w:tcPr>
          <w:p>
            <w:pPr>
              <w:pStyle w:val="651"/>
              <w:ind w:left="-108" w:firstLine="108"/>
              <w:jc w:val="center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постановлением администрации Петровского городского округа Ставропольского края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47" w:type="dxa"/>
            <w:vAlign w:val="top"/>
            <w:textDirection w:val="lrTb"/>
            <w:noWrap w:val="false"/>
          </w:tcPr>
          <w:p>
            <w:pPr>
              <w:pStyle w:val="651"/>
              <w:spacing w:line="240" w:lineRule="exac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от 08 ноября 2018 г. № 1982</w:t>
            </w:r>
            <w:r>
              <w:rPr>
                <w:szCs w:val="28"/>
              </w:rPr>
            </w:r>
          </w:p>
          <w:p>
            <w:pPr>
              <w:pStyle w:val="651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(в ред. от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17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июня</w:t>
            </w:r>
            <w:r>
              <w:rPr>
                <w:szCs w:val="28"/>
              </w:rPr>
              <w:t xml:space="preserve"> 2019 г. № </w:t>
            </w:r>
            <w:r>
              <w:rPr>
                <w:szCs w:val="28"/>
              </w:rPr>
              <w:t xml:space="preserve">1298</w:t>
            </w:r>
            <w:r>
              <w:rPr>
                <w:szCs w:val="28"/>
              </w:rPr>
              <w:t xml:space="preserve">)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pStyle w:val="668"/>
        <w:jc w:val="center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ПЛАН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6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работ по ремонту автомобильных дорог общего пользования местного значения, находящихся в собственности Петровского городского округа Ставропольского края, на 2019 год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4317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1134"/>
        <w:gridCol w:w="1134"/>
        <w:gridCol w:w="1700"/>
        <w:gridCol w:w="1842"/>
        <w:gridCol w:w="1559"/>
        <w:gridCol w:w="1038"/>
        <w:gridCol w:w="26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/>
        </w:trPr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661"/>
              <w:ind w:firstLine="0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661"/>
              <w:ind w:firstLine="0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расходования средств, наименование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661"/>
              <w:ind w:firstLine="0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произ-водства работ (начало – ввод)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661"/>
              <w:ind w:firstLine="0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 мощ-нос-тей, км/м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vMerge w:val="restart"/>
            <w:textDirection w:val="lrTb"/>
            <w:noWrap w:val="false"/>
          </w:tcPr>
          <w:p>
            <w:pPr>
              <w:pStyle w:val="661"/>
              <w:ind w:firstLine="0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Объём финанси-рования,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3401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38" w:type="dxa"/>
            <w:vAlign w:val="top"/>
            <w:vMerge w:val="restart"/>
            <w:textDirection w:val="lrTb"/>
            <w:noWrap w:val="false"/>
          </w:tcPr>
          <w:p>
            <w:pPr>
              <w:pStyle w:val="661"/>
              <w:ind w:left="32" w:firstLine="0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Доле-вое учас-тие бюд-жета МО,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left="32" w:firstLine="0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49" w:type="dxa"/>
            <w:vAlign w:val="top"/>
            <w:vMerge w:val="restart"/>
            <w:textDirection w:val="lrTb"/>
            <w:noWrap w:val="false"/>
          </w:tcPr>
          <w:p>
            <w:pPr>
              <w:pStyle w:val="661"/>
              <w:ind w:firstLine="0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Плановое значение целевого показателя результативности использования субсидии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требованиям, в результате проведения капитального ремонт и (или) ремонта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vMerge w:val="continue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субсидии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бюджета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38" w:type="dxa"/>
            <w:vAlign w:val="top"/>
            <w:vMerge w:val="continue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49" w:type="dxa"/>
            <w:vAlign w:val="top"/>
            <w:vMerge w:val="continue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4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дорожного хозяйства -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89331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108118,40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102712,4</w:t>
            </w:r>
            <w:r>
              <w:rPr>
                <w:rFonts w:cs="Times New Roman"/>
                <w:color w:val="000000"/>
              </w:rPr>
              <w:t xml:space="preserve">7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5405,93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4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4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89331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108118,40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102712,4</w:t>
            </w:r>
            <w:r>
              <w:rPr>
                <w:rFonts w:cs="Times New Roman"/>
                <w:color w:val="000000"/>
              </w:rPr>
              <w:t xml:space="preserve">7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5405,93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4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т.ч. пообъектно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4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автомобильной дороги общего пользования местного значения «Гофицкое –Спицевка» по ул. Центральной (ПК 0+00 - ПК 15+50) в селе Высоцкое Петровского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72,03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68,4</w:t>
            </w:r>
            <w:r>
              <w:rPr>
                <w:rFonts w:cs="Times New Roman"/>
                <w:bCs/>
                <w:color w:val="000000"/>
              </w:rPr>
              <w:t xml:space="preserve">3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3,60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4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автомобильной дороги общего пользования местного значения «Подъезд к селу Донская Балка от автомобильной дороги «Светлоград - Благодарный – Буденновск» по ул. Ленина в селе Донская Балка Петровского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2,0/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9220,92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8759,87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461,0</w:t>
            </w:r>
            <w:r>
              <w:rPr>
                <w:rFonts w:cs="Times New Roman"/>
                <w:bCs/>
                <w:color w:val="000000"/>
              </w:rPr>
              <w:t xml:space="preserve">5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4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автомобильной дороги общего пользования местного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ул. Сараева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селе Константиновское Петровского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1,772/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8860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11621,45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11040,3</w:t>
            </w:r>
            <w:r>
              <w:rPr>
                <w:rFonts w:cs="Times New Roman"/>
                <w:bCs/>
                <w:color w:val="000000"/>
              </w:rPr>
              <w:t xml:space="preserve">8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581,07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4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значения по ул. Красная, ул. Почтовая в поселке Прикалаусский Петровского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0,436/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2398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3509,63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3334,15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175,48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4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автомобильной дороги общего пользования местного 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ул. Красной в поселке Рогатая Балка Петровского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1,39/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8174,94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7766,19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408,7</w:t>
            </w:r>
            <w:r>
              <w:rPr>
                <w:rFonts w:cs="Times New Roman"/>
                <w:bCs/>
                <w:color w:val="000000"/>
              </w:rPr>
              <w:t xml:space="preserve">5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4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автомобильной дороги общего пользования местного значения по ул. Базарной в селе Гофицкое Петровского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0,87/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5837,77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5545,88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291,8</w:t>
            </w:r>
            <w:r>
              <w:rPr>
                <w:rFonts w:cs="Times New Roman"/>
                <w:bCs/>
                <w:color w:val="000000"/>
              </w:rPr>
              <w:t xml:space="preserve">9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4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значения по ул. 60 лет Октября в городе Светлограде Петровского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0,89/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7426,11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7054,80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371,3</w:t>
            </w:r>
            <w:r>
              <w:rPr>
                <w:rFonts w:cs="Times New Roman"/>
                <w:color w:val="000000"/>
              </w:rPr>
              <w:t xml:space="preserve">1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4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0,89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автомобильной дороги общего пользования местного значения по ул. Кисличан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ская (ПК 20+70км до 32+20км) (второй этап) в городе Светлограде Петровского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1,15/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8910,78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8465,24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445,5</w:t>
            </w:r>
            <w:r>
              <w:rPr>
                <w:rFonts w:cs="Times New Roman"/>
                <w:color w:val="000000"/>
              </w:rPr>
              <w:t xml:space="preserve">4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4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автомобильной дороги общего пользования местного значения по ул. Крайней, пер. 2 - му  Крайнему в городе Светлограде Петровского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1,33/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7448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5204,72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4944,48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260,2</w:t>
            </w:r>
            <w:r>
              <w:rPr>
                <w:rFonts w:cs="Times New Roman"/>
                <w:color w:val="000000"/>
              </w:rPr>
              <w:t xml:space="preserve">4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4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автомобильной дороги общего пользования местного значения по ул. Пушкина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 участке между ул. Крупской и пл. 50 лет Октября)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городе Светлограде Петровского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Ставро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0,33/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4742,50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4505,37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237,1</w:t>
            </w:r>
            <w:r>
              <w:rPr>
                <w:rFonts w:cs="Times New Roman"/>
                <w:color w:val="000000"/>
              </w:rPr>
              <w:t xml:space="preserve">3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4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автомобильной дороги общего пользования местного значения по ул. Садовой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(участок от ПК 19+00 до ПК 37+80)(второй этап) в городе Светлограде Петровского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1,88/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13017,90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12367,0</w:t>
            </w:r>
            <w:r>
              <w:rPr>
                <w:rFonts w:cs="Times New Roman"/>
                <w:color w:val="000000"/>
              </w:rPr>
              <w:t xml:space="preserve">1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650,89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4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автомобильной дороги общего пользования местного 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ул. Кузнечной (участок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5+40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19+00)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(второй этап)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городе Светлограде Петровского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1,36/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11285,09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10720,8</w:t>
            </w:r>
            <w:r>
              <w:rPr>
                <w:rFonts w:cs="Times New Roman"/>
                <w:color w:val="000000"/>
              </w:rPr>
              <w:t xml:space="preserve">4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564,25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4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автомобильной дороги общего пользования местного 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ул. Бассейная (на участке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1+050км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1+800км) в городе Светло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граде Петровского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0,75/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7727,97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7341,57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386,</w:t>
            </w:r>
            <w:r>
              <w:rPr>
                <w:rFonts w:cs="Times New Roman"/>
                <w:color w:val="000000"/>
              </w:rPr>
              <w:t xml:space="preserve">40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4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автомобильной дороги общего пользования местного значения по ул. Сараева в городе Светлограде Петровского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51"/>
            </w:pPr>
            <w:r>
              <w:rPr>
                <w:rFonts w:cs="Times New Roman"/>
                <w:szCs w:val="28"/>
                <w:lang w:val="en-US"/>
              </w:rPr>
              <w:t xml:space="preserve">II</w:t>
            </w:r>
            <w:r>
              <w:rPr>
                <w:rFonts w:cs="Times New Roman"/>
                <w:szCs w:val="28"/>
              </w:rPr>
              <w:t xml:space="preserve">-</w:t>
            </w:r>
            <w:r>
              <w:rPr>
                <w:rFonts w:cs="Times New Roman"/>
                <w:szCs w:val="28"/>
                <w:lang w:val="en-US"/>
              </w:rPr>
              <w:t xml:space="preserve">IV</w:t>
            </w:r>
            <w:r>
              <w:rPr>
                <w:rFonts w:cs="Times New Roman"/>
                <w:szCs w:val="28"/>
              </w:rPr>
              <w:t xml:space="preserve"> кв. 2019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5965,57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5667,29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298,2</w:t>
            </w:r>
            <w:r>
              <w:rPr>
                <w:rFonts w:cs="Times New Roman"/>
                <w:color w:val="000000"/>
              </w:rPr>
              <w:t xml:space="preserve">8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4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значения по ул. Тутиновая (от ул. Спортивной до ул. Сараева) в городе Светлограде Петровского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0,6/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5401,02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5130,9</w:t>
            </w:r>
            <w:r>
              <w:rPr>
                <w:rFonts w:cs="Times New Roman"/>
                <w:color w:val="000000"/>
              </w:rPr>
              <w:t xml:space="preserve">7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270,05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4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6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1"/>
        <w:jc w:val="both"/>
        <w:spacing w:before="5" w:line="240" w:lineRule="exact"/>
        <w:shd w:val="clear" w:color="auto" w:fill="ffffff"/>
        <w:rPr>
          <w:rFonts w:eastAsia="Calibri" w:cs="Times New Roman"/>
          <w:szCs w:val="28"/>
          <w:lang w:eastAsia="en-US"/>
        </w:rPr>
      </w:pPr>
      <w:r>
        <w:rPr>
          <w:rFonts w:eastAsia="Calibri" w:cs="Times New Roman"/>
          <w:szCs w:val="28"/>
          <w:lang w:eastAsia="en-US"/>
        </w:rPr>
        <w:t xml:space="preserve">Заместитель главы администрации</w:t>
      </w:r>
      <w:r>
        <w:rPr>
          <w:rFonts w:eastAsia="Calibri" w:cs="Times New Roman"/>
          <w:szCs w:val="28"/>
          <w:lang w:eastAsia="en-US"/>
        </w:rPr>
      </w:r>
    </w:p>
    <w:p>
      <w:pPr>
        <w:pStyle w:val="651"/>
        <w:jc w:val="both"/>
        <w:spacing w:before="5" w:line="240" w:lineRule="exact"/>
        <w:shd w:val="clear" w:color="auto" w:fill="ffffff"/>
        <w:rPr>
          <w:rFonts w:eastAsia="Calibri" w:cs="Times New Roman"/>
          <w:szCs w:val="28"/>
          <w:lang w:eastAsia="en-US"/>
        </w:rPr>
      </w:pPr>
      <w:r>
        <w:rPr>
          <w:rFonts w:eastAsia="Calibri" w:cs="Times New Roman"/>
          <w:szCs w:val="28"/>
          <w:lang w:eastAsia="en-US"/>
        </w:rPr>
        <w:t xml:space="preserve">Петровского городского округа </w:t>
      </w:r>
      <w:r>
        <w:rPr>
          <w:rFonts w:eastAsia="Calibri" w:cs="Times New Roman"/>
          <w:szCs w:val="28"/>
          <w:lang w:eastAsia="en-US"/>
        </w:rPr>
      </w:r>
    </w:p>
    <w:p>
      <w:pPr>
        <w:pStyle w:val="651"/>
        <w:jc w:val="both"/>
        <w:spacing w:before="5" w:line="240" w:lineRule="exact"/>
        <w:shd w:val="clear" w:color="auto" w:fill="ffffff"/>
        <w:rPr>
          <w:rFonts w:eastAsia="Calibri" w:cs="Times New Roman"/>
          <w:szCs w:val="28"/>
          <w:lang w:eastAsia="en-US"/>
        </w:rPr>
      </w:pPr>
      <w:r>
        <w:rPr>
          <w:rFonts w:eastAsia="Calibri" w:cs="Times New Roman"/>
          <w:szCs w:val="28"/>
          <w:lang w:eastAsia="en-US"/>
        </w:rPr>
        <w:t xml:space="preserve">Ставропольского края                                                                 </w:t>
      </w:r>
      <w:r>
        <w:rPr>
          <w:rFonts w:eastAsia="Calibri" w:cs="Times New Roman"/>
          <w:szCs w:val="28"/>
          <w:lang w:eastAsia="en-US"/>
        </w:rPr>
        <w:t xml:space="preserve">                                                                       </w:t>
      </w:r>
      <w:r>
        <w:rPr>
          <w:rFonts w:eastAsia="Calibri" w:cs="Times New Roman"/>
          <w:szCs w:val="28"/>
          <w:lang w:eastAsia="en-US"/>
        </w:rPr>
        <w:t xml:space="preserve">       Е.И.Сергеева</w:t>
      </w:r>
      <w:r>
        <w:rPr>
          <w:rFonts w:eastAsia="Calibri" w:cs="Times New Roman"/>
          <w:szCs w:val="28"/>
          <w:lang w:eastAsia="en-US"/>
        </w:rPr>
      </w:r>
    </w:p>
    <w:sectPr>
      <w:footnotePr/>
      <w:endnotePr/>
      <w:type w:val="nextPage"/>
      <w:pgSz w:w="16838" w:h="11906" w:orient="landscape"/>
      <w:pgMar w:top="1418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7"/>
      <w:rPr>
        <w:rStyle w:val="656"/>
      </w:rPr>
      <w:framePr w:wrap="around" w:vAnchor="text" w:hAnchor="margin" w:xAlign="center" w:y="1"/>
    </w:pPr>
    <w:r>
      <w:rPr>
        <w:rStyle w:val="656"/>
      </w:rPr>
      <w:fldChar w:fldCharType="begin"/>
    </w:r>
    <w:r>
      <w:rPr>
        <w:rStyle w:val="656"/>
      </w:rPr>
      <w:instrText xml:space="preserve">PAGE  </w:instrText>
    </w:r>
    <w:r>
      <w:rPr>
        <w:rStyle w:val="656"/>
      </w:rPr>
      <w:fldChar w:fldCharType="end"/>
    </w:r>
    <w:r>
      <w:rPr>
        <w:rStyle w:val="656"/>
      </w:rPr>
    </w:r>
    <w:r>
      <w:rPr>
        <w:rStyle w:val="656"/>
      </w:rPr>
    </w:r>
  </w:p>
  <w:p>
    <w:pPr>
      <w:pStyle w:val="65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/>
        <w:sz w:val="20"/>
      </w:rPr>
    </w:lvl>
    <w:lvl w:ilvl="2">
      <w:start w:val="1"/>
      <w:numFmt w:val="decimal"/>
      <w:isLgl w:val="false"/>
      <w:suff w:val="tab"/>
      <w:lvlText w:val="%3."/>
      <w:lvlJc w:val="left"/>
      <w:pPr>
        <w:ind w:left="1800" w:hanging="36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3960" w:hanging="36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120" w:hanging="360"/>
        <w:tabs>
          <w:tab w:val="num" w:pos="6120" w:leader="none"/>
        </w:tabs>
      </w:pPr>
    </w:lvl>
  </w:abstractNum>
  <w:abstractNum w:abstractNumId="1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33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1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3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97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5" w:hanging="540"/>
      </w:pPr>
      <w:rPr>
        <w:rFonts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  <w:tabs>
          <w:tab w:val="num" w:pos="7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340" w:hanging="360"/>
        <w:tabs>
          <w:tab w:val="num" w:pos="1340" w:leader="none"/>
        </w:tabs>
      </w:pPr>
      <w:rPr>
        <w:rFonts w:ascii="Courier New" w:hAnsi="Courier New"/>
        <w:sz w:val="20"/>
      </w:rPr>
    </w:lvl>
    <w:lvl w:ilvl="2">
      <w:start w:val="1"/>
      <w:numFmt w:val="decimal"/>
      <w:isLgl w:val="false"/>
      <w:suff w:val="tab"/>
      <w:lvlText w:val="%3."/>
      <w:lvlJc w:val="left"/>
      <w:pPr>
        <w:ind w:left="2220" w:hanging="360"/>
        <w:tabs>
          <w:tab w:val="num" w:pos="22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  <w:tabs>
          <w:tab w:val="num" w:pos="294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60" w:hanging="360"/>
        <w:tabs>
          <w:tab w:val="num" w:pos="36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80" w:hanging="360"/>
        <w:tabs>
          <w:tab w:val="num" w:pos="43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  <w:tabs>
          <w:tab w:val="num" w:pos="510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820" w:hanging="360"/>
        <w:tabs>
          <w:tab w:val="num" w:pos="582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540" w:hanging="360"/>
        <w:tabs>
          <w:tab w:val="num" w:pos="6540" w:leader="none"/>
        </w:tabs>
      </w:pPr>
    </w:lvl>
  </w:abstractNum>
  <w:abstractNum w:abstractNumId="8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1"/>
    <w:next w:val="65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1"/>
    <w:next w:val="65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1"/>
    <w:next w:val="65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1"/>
    <w:next w:val="65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1"/>
    <w:next w:val="65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1"/>
    <w:next w:val="65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1"/>
    <w:next w:val="65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1"/>
    <w:next w:val="65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1"/>
    <w:next w:val="65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1"/>
    <w:next w:val="65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1"/>
    <w:next w:val="65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1"/>
    <w:next w:val="65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1"/>
    <w:next w:val="65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1"/>
    <w:next w:val="6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1"/>
    <w:next w:val="65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1"/>
    <w:next w:val="65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1"/>
    <w:next w:val="65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1"/>
    <w:next w:val="65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1"/>
    <w:next w:val="65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1"/>
    <w:next w:val="65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1"/>
    <w:next w:val="65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1"/>
    <w:next w:val="65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1"/>
    <w:next w:val="65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1"/>
    <w:next w:val="651"/>
    <w:uiPriority w:val="99"/>
    <w:unhideWhenUsed/>
    <w:pPr>
      <w:spacing w:after="0" w:afterAutospacing="0"/>
    </w:pPr>
  </w:style>
  <w:style w:type="paragraph" w:styleId="651" w:default="1">
    <w:name w:val="Normal"/>
    <w:next w:val="651"/>
    <w:link w:val="651"/>
    <w:qFormat/>
    <w:rPr>
      <w:rFonts w:cs="Arial"/>
      <w:sz w:val="28"/>
      <w:lang w:val="ru-RU" w:eastAsia="ru-RU" w:bidi="ar-SA"/>
    </w:rPr>
  </w:style>
  <w:style w:type="paragraph" w:styleId="652">
    <w:name w:val="Заголовок 1"/>
    <w:basedOn w:val="651"/>
    <w:next w:val="651"/>
    <w:link w:val="651"/>
    <w:qFormat/>
    <w:pPr>
      <w:jc w:val="center"/>
      <w:keepNext/>
      <w:outlineLvl w:val="0"/>
    </w:pPr>
    <w:rPr>
      <w:rFonts w:cs="Times New Roman"/>
      <w:b/>
      <w:bCs/>
      <w:szCs w:val="24"/>
    </w:rPr>
  </w:style>
  <w:style w:type="character" w:styleId="653">
    <w:name w:val="Основной шрифт абзаца"/>
    <w:next w:val="653"/>
    <w:link w:val="651"/>
    <w:semiHidden/>
  </w:style>
  <w:style w:type="table" w:styleId="654">
    <w:name w:val="Обычная таблица"/>
    <w:next w:val="654"/>
    <w:link w:val="651"/>
    <w:semiHidden/>
    <w:tblPr/>
  </w:style>
  <w:style w:type="numbering" w:styleId="655">
    <w:name w:val="Нет списка"/>
    <w:next w:val="655"/>
    <w:link w:val="651"/>
    <w:semiHidden/>
  </w:style>
  <w:style w:type="character" w:styleId="656">
    <w:name w:val="Номер страницы"/>
    <w:basedOn w:val="653"/>
    <w:next w:val="656"/>
    <w:link w:val="651"/>
  </w:style>
  <w:style w:type="paragraph" w:styleId="657">
    <w:name w:val="Верхний колонтитул"/>
    <w:basedOn w:val="651"/>
    <w:next w:val="657"/>
    <w:link w:val="651"/>
    <w:pPr>
      <w:tabs>
        <w:tab w:val="center" w:pos="4677" w:leader="none"/>
        <w:tab w:val="right" w:pos="9355" w:leader="none"/>
      </w:tabs>
    </w:pPr>
    <w:rPr>
      <w:rFonts w:cs="Times New Roman"/>
      <w:szCs w:val="24"/>
    </w:rPr>
  </w:style>
  <w:style w:type="paragraph" w:styleId="658">
    <w:name w:val="Основной текст с отступом 3"/>
    <w:basedOn w:val="651"/>
    <w:next w:val="658"/>
    <w:link w:val="678"/>
    <w:pPr>
      <w:ind w:firstLine="840"/>
      <w:jc w:val="both"/>
    </w:pPr>
    <w:rPr>
      <w:rFonts w:cs="Times New Roman"/>
      <w:szCs w:val="24"/>
      <w:lang w:val="en-US" w:eastAsia="en-US"/>
    </w:rPr>
  </w:style>
  <w:style w:type="paragraph" w:styleId="659">
    <w:name w:val="Основной текст с отступом"/>
    <w:basedOn w:val="651"/>
    <w:next w:val="659"/>
    <w:link w:val="679"/>
    <w:pPr>
      <w:ind w:firstLine="700"/>
      <w:jc w:val="both"/>
    </w:pPr>
    <w:rPr>
      <w:rFonts w:cs="Times New Roman"/>
      <w:szCs w:val="24"/>
      <w:lang w:val="en-US" w:eastAsia="en-US"/>
    </w:rPr>
  </w:style>
  <w:style w:type="paragraph" w:styleId="660">
    <w:name w:val="Основной текст с отступом 2"/>
    <w:basedOn w:val="651"/>
    <w:next w:val="660"/>
    <w:link w:val="651"/>
    <w:pPr>
      <w:ind w:firstLine="700"/>
      <w:jc w:val="both"/>
    </w:pPr>
    <w:rPr>
      <w:rFonts w:cs="Times New Roman"/>
      <w:szCs w:val="24"/>
      <w:u w:val="single"/>
    </w:rPr>
  </w:style>
  <w:style w:type="paragraph" w:styleId="661">
    <w:name w:val="ConsPlusNormal"/>
    <w:next w:val="661"/>
    <w:link w:val="651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62">
    <w:name w:val="Основной текст 2"/>
    <w:basedOn w:val="651"/>
    <w:next w:val="662"/>
    <w:link w:val="669"/>
    <w:pPr>
      <w:spacing w:after="120" w:line="480" w:lineRule="auto"/>
    </w:pPr>
    <w:rPr>
      <w:rFonts w:cs="Times New Roman"/>
      <w:lang w:val="en-US" w:eastAsia="en-US"/>
    </w:rPr>
  </w:style>
  <w:style w:type="character" w:styleId="663">
    <w:name w:val="Гиперссылка"/>
    <w:next w:val="663"/>
    <w:link w:val="651"/>
    <w:rPr>
      <w:color w:val="0000ff"/>
      <w:u w:val="single"/>
    </w:rPr>
  </w:style>
  <w:style w:type="paragraph" w:styleId="664">
    <w:name w:val="Текст сноски"/>
    <w:basedOn w:val="651"/>
    <w:next w:val="664"/>
    <w:link w:val="651"/>
    <w:semiHidden/>
    <w:rPr>
      <w:sz w:val="20"/>
    </w:rPr>
  </w:style>
  <w:style w:type="character" w:styleId="665">
    <w:name w:val="Знак сноски"/>
    <w:next w:val="665"/>
    <w:link w:val="651"/>
    <w:semiHidden/>
    <w:rPr>
      <w:vertAlign w:val="superscript"/>
    </w:rPr>
  </w:style>
  <w:style w:type="paragraph" w:styleId="666">
    <w:name w:val="Нижний колонтитул"/>
    <w:basedOn w:val="651"/>
    <w:next w:val="666"/>
    <w:link w:val="651"/>
    <w:pPr>
      <w:tabs>
        <w:tab w:val="center" w:pos="4677" w:leader="none"/>
        <w:tab w:val="right" w:pos="9355" w:leader="none"/>
      </w:tabs>
    </w:pPr>
  </w:style>
  <w:style w:type="table" w:styleId="667">
    <w:name w:val="Сетка таблицы"/>
    <w:basedOn w:val="654"/>
    <w:next w:val="667"/>
    <w:link w:val="651"/>
    <w:tblPr/>
  </w:style>
  <w:style w:type="paragraph" w:styleId="668">
    <w:name w:val="ConsPlusTitle"/>
    <w:next w:val="668"/>
    <w:link w:val="651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669">
    <w:name w:val="Основной текст 2 Знак"/>
    <w:next w:val="669"/>
    <w:link w:val="662"/>
    <w:rPr>
      <w:rFonts w:cs="Arial"/>
      <w:sz w:val="28"/>
    </w:rPr>
  </w:style>
  <w:style w:type="paragraph" w:styleId="670">
    <w:name w:val="Обычный (веб)"/>
    <w:basedOn w:val="651"/>
    <w:next w:val="670"/>
    <w:link w:val="651"/>
    <w:uiPriority w:val="99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671">
    <w:name w:val="Текст выноски"/>
    <w:basedOn w:val="651"/>
    <w:next w:val="671"/>
    <w:link w:val="651"/>
    <w:semiHidden/>
    <w:rPr>
      <w:rFonts w:ascii="Tahoma" w:hAnsi="Tahoma" w:cs="Tahoma"/>
      <w:sz w:val="16"/>
      <w:szCs w:val="16"/>
    </w:rPr>
  </w:style>
  <w:style w:type="character" w:styleId="672">
    <w:name w:val="Строгий"/>
    <w:next w:val="672"/>
    <w:link w:val="651"/>
    <w:qFormat/>
    <w:rPr>
      <w:b/>
      <w:bCs/>
    </w:rPr>
  </w:style>
  <w:style w:type="character" w:styleId="673">
    <w:name w:val="grame"/>
    <w:basedOn w:val="653"/>
    <w:next w:val="673"/>
    <w:link w:val="651"/>
  </w:style>
  <w:style w:type="paragraph" w:styleId="674">
    <w:name w:val="Знак Знак Знак1 Знак Знак Знак"/>
    <w:basedOn w:val="651"/>
    <w:next w:val="674"/>
    <w:link w:val="651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paragraph" w:styleId="675">
    <w:name w:val="Текст концевой сноски"/>
    <w:basedOn w:val="651"/>
    <w:next w:val="675"/>
    <w:link w:val="676"/>
    <w:rPr>
      <w:rFonts w:cs="Times New Roman"/>
      <w:sz w:val="20"/>
      <w:lang w:val="en-US" w:eastAsia="en-US"/>
    </w:rPr>
  </w:style>
  <w:style w:type="character" w:styleId="676">
    <w:name w:val="Текст концевой сноски Знак"/>
    <w:next w:val="676"/>
    <w:link w:val="675"/>
    <w:rPr>
      <w:rFonts w:cs="Arial"/>
    </w:rPr>
  </w:style>
  <w:style w:type="character" w:styleId="677">
    <w:name w:val="Знак концевой сноски"/>
    <w:next w:val="677"/>
    <w:link w:val="651"/>
    <w:rPr>
      <w:vertAlign w:val="superscript"/>
    </w:rPr>
  </w:style>
  <w:style w:type="character" w:styleId="678">
    <w:name w:val="Основной текст с отступом 3 Знак"/>
    <w:next w:val="678"/>
    <w:link w:val="658"/>
    <w:rPr>
      <w:sz w:val="28"/>
      <w:szCs w:val="24"/>
    </w:rPr>
  </w:style>
  <w:style w:type="character" w:styleId="679">
    <w:name w:val="Основной текст с отступом Знак"/>
    <w:next w:val="679"/>
    <w:link w:val="659"/>
    <w:rPr>
      <w:sz w:val="28"/>
      <w:szCs w:val="24"/>
    </w:rPr>
  </w:style>
  <w:style w:type="paragraph" w:styleId="680">
    <w:name w:val=" Знак"/>
    <w:basedOn w:val="651"/>
    <w:next w:val="680"/>
    <w:link w:val="651"/>
    <w:rPr>
      <w:rFonts w:ascii="Verdana" w:hAnsi="Verdana" w:cs="Verdana"/>
      <w:sz w:val="20"/>
      <w:lang w:val="en-US" w:eastAsia="en-US"/>
    </w:rPr>
  </w:style>
  <w:style w:type="paragraph" w:styleId="681">
    <w:name w:val="ConsNonformat"/>
    <w:next w:val="681"/>
    <w:link w:val="651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paragraph" w:styleId="682">
    <w:name w:val="Т-1,5"/>
    <w:basedOn w:val="651"/>
    <w:next w:val="682"/>
    <w:link w:val="651"/>
    <w:pPr>
      <w:ind w:firstLine="720"/>
      <w:jc w:val="both"/>
      <w:spacing w:line="360" w:lineRule="auto"/>
    </w:pPr>
    <w:rPr>
      <w:rFonts w:cs="Times New Roman"/>
    </w:rPr>
  </w:style>
  <w:style w:type="paragraph" w:styleId="683">
    <w:name w:val="Название"/>
    <w:basedOn w:val="651"/>
    <w:next w:val="683"/>
    <w:link w:val="684"/>
    <w:qFormat/>
    <w:pPr>
      <w:jc w:val="center"/>
    </w:pPr>
    <w:rPr>
      <w:rFonts w:cs="Times New Roman"/>
      <w:b/>
      <w:bCs/>
      <w:sz w:val="32"/>
      <w:szCs w:val="24"/>
      <w:lang w:val="en-US" w:eastAsia="en-US"/>
    </w:rPr>
  </w:style>
  <w:style w:type="character" w:styleId="684">
    <w:name w:val="Название Знак"/>
    <w:next w:val="684"/>
    <w:link w:val="683"/>
    <w:rPr>
      <w:b/>
      <w:bCs/>
      <w:sz w:val="32"/>
      <w:szCs w:val="24"/>
    </w:rPr>
  </w:style>
  <w:style w:type="paragraph" w:styleId="685">
    <w:name w:val="ConsNormal"/>
    <w:next w:val="685"/>
    <w:link w:val="651"/>
    <w:uiPriority w:val="99"/>
    <w:pPr>
      <w:ind w:right="19772" w:firstLine="720"/>
      <w:jc w:val="both"/>
      <w:widowControl w:val="off"/>
    </w:pPr>
    <w:rPr>
      <w:rFonts w:ascii="Arial" w:hAnsi="Arial" w:cs="Arial"/>
      <w:lang w:val="ru-RU" w:eastAsia="ru-RU" w:bidi="ar-SA"/>
    </w:rPr>
  </w:style>
  <w:style w:type="paragraph" w:styleId="686">
    <w:name w:val="ConsTitle"/>
    <w:next w:val="686"/>
    <w:link w:val="651"/>
    <w:uiPriority w:val="99"/>
    <w:pPr>
      <w:ind w:right="19772"/>
      <w:jc w:val="both"/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687">
    <w:name w:val="ConsPlusCell"/>
    <w:next w:val="687"/>
    <w:link w:val="651"/>
    <w:pPr>
      <w:widowControl w:val="off"/>
    </w:pPr>
    <w:rPr>
      <w:rFonts w:ascii="Arial" w:hAnsi="Arial" w:cs="Arial"/>
      <w:lang w:val="ru-RU" w:eastAsia="ru-RU" w:bidi="ar-SA"/>
    </w:rPr>
  </w:style>
  <w:style w:type="character" w:styleId="3598" w:default="1">
    <w:name w:val="Default Paragraph Font"/>
    <w:uiPriority w:val="1"/>
    <w:semiHidden/>
    <w:unhideWhenUsed/>
  </w:style>
  <w:style w:type="numbering" w:styleId="3599" w:default="1">
    <w:name w:val="No List"/>
    <w:uiPriority w:val="99"/>
    <w:semiHidden/>
    <w:unhideWhenUsed/>
  </w:style>
  <w:style w:type="table" w:styleId="360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Комитет архивов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revision>3</cp:revision>
  <dcterms:created xsi:type="dcterms:W3CDTF">2019-06-19T09:01:00Z</dcterms:created>
  <dcterms:modified xsi:type="dcterms:W3CDTF">2024-03-21T11:15:24Z</dcterms:modified>
  <cp:version>917504</cp:version>
</cp:coreProperties>
</file>