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  <w:r>
        <w:rPr>
          <w:rFonts w:ascii="Times New Roman" w:hAnsi="Times New Roman" w:eastAsia="Calibri" w:cs="Times New Roman"/>
          <w:b/>
          <w:sz w:val="32"/>
          <w:szCs w:val="32"/>
          <w:lang w:eastAsia="en-US"/>
        </w:rPr>
        <w:t xml:space="preserve">П</w:t>
      </w:r>
      <w:r>
        <w:rPr>
          <w:rFonts w:ascii="Times New Roman" w:hAnsi="Times New Roman" w:eastAsia="Calibri" w:cs="Times New Roman"/>
          <w:b/>
          <w:sz w:val="32"/>
          <w:szCs w:val="32"/>
          <w:lang w:eastAsia="en-US"/>
        </w:rPr>
        <w:t xml:space="preserve"> О С Т А Н О В Л Е Н И Е</w:t>
      </w:r>
      <w:r>
        <w:rPr>
          <w:rFonts w:ascii="Times New Roman" w:hAnsi="Times New Roman" w:eastAsia="Calibri" w:cs="Times New Roman"/>
          <w:b/>
          <w:sz w:val="32"/>
          <w:szCs w:val="32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АДМИНИСТРАЦИИ ПЕТРОВСКОГО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ГОРОДСКОГО ОКРУГА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СТАВРОПОЛЬСКОГО КРАЯ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>
          <w:trHeight w:val="208"/>
        </w:trPr>
        <w:tc>
          <w:tcPr>
            <w:tcW w:w="3063" w:type="dxa"/>
            <w:textDirection w:val="lrTb"/>
            <w:noWrap w:val="false"/>
          </w:tcPr>
          <w:p>
            <w:pPr>
              <w:ind w:left="-108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 июля 2019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г. Светлоград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ind w:firstLine="567"/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1499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градостроительства и архитектуры»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утвержденную постановлением администрации Петровского городского округа Ставропольского края от 29 декабря 201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 №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(в редакции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26 декабря 2018 года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2334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28 июня 2019 года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1379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lang w:eastAsia="en-US"/>
        </w:rPr>
      </w:pPr>
      <w:r>
        <w:rPr>
          <w:rFonts w:ascii="Times New Roman" w:hAnsi="Times New Roman" w:eastAsia="Calibri" w:cs="Times New Roman"/>
          <w:sz w:val="28"/>
          <w:lang w:eastAsia="en-US"/>
        </w:rPr>
      </w:r>
      <w:r>
        <w:rPr>
          <w:rFonts w:ascii="Times New Roman" w:hAnsi="Times New Roman" w:eastAsia="Calibri" w:cs="Times New Roman"/>
          <w:sz w:val="28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lang w:eastAsia="en-US"/>
        </w:rPr>
      </w:pPr>
      <w:r>
        <w:rPr>
          <w:rFonts w:ascii="Times New Roman" w:hAnsi="Times New Roman" w:eastAsia="Calibri" w:cs="Times New Roman"/>
          <w:sz w:val="28"/>
          <w:lang w:eastAsia="en-US"/>
        </w:rPr>
      </w:r>
      <w:r>
        <w:rPr>
          <w:rFonts w:ascii="Times New Roman" w:hAnsi="Times New Roman" w:eastAsia="Calibri" w:cs="Times New Roman"/>
          <w:sz w:val="28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lang w:eastAsia="en-US"/>
        </w:rPr>
      </w:pPr>
      <w:r>
        <w:rPr>
          <w:rFonts w:ascii="Times New Roman" w:hAnsi="Times New Roman" w:eastAsia="Calibri" w:cs="Times New Roman"/>
          <w:sz w:val="28"/>
          <w:lang w:eastAsia="en-US"/>
        </w:rPr>
        <w:t xml:space="preserve">В соответствии с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Бюджетным кодексом Российской Федерации,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Федеральным законом от 06 октября 2006 года № 131-ФЗ «Об общих принципах организации местного самоуправления в Российской Федерации», постановлением администрации Петровского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городского округа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Ставропольского края от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11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апреля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201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8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года №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528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«Об утверждении Порядка разработки, реализации и оценки эффективности муниципальных программ Петровского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городского округа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Ставропольского края» (в редакции от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30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августа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201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8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года №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1547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, от 11 января 2019 года № 9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), распоряжением администрации Петровского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городского округа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Ставропольского края от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18апреля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201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8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года №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206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-р «Об утверждении Методических указаний по разработке и реализации муниципальных программ Петровского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городского округа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Ставропольского края»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(в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редакции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от 04 декабря 2018 года № 656-р)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,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администрация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Петровского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городского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округа</w:t>
      </w:r>
      <w:r>
        <w:rPr>
          <w:rFonts w:ascii="Times New Roman" w:hAnsi="Times New Roman" w:eastAsia="Calibri" w:cs="Times New Roman"/>
          <w:sz w:val="28"/>
          <w:lang w:eastAsia="en-US"/>
        </w:rPr>
        <w:t xml:space="preserve"> Ставропольского края</w:t>
      </w:r>
      <w:r>
        <w:rPr>
          <w:rFonts w:ascii="Times New Roman" w:hAnsi="Times New Roman" w:eastAsia="Calibri" w:cs="Times New Roman"/>
          <w:sz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222222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222222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222222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222222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222222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222222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222222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222222"/>
          <w:sz w:val="28"/>
          <w:szCs w:val="28"/>
          <w:lang w:eastAsia="en-US"/>
        </w:rPr>
        <w:t xml:space="preserve">ПОСТАНОВЛЯЕТ:</w:t>
      </w:r>
      <w:r>
        <w:rPr>
          <w:rFonts w:ascii="Times New Roman" w:hAnsi="Times New Roman" w:eastAsia="Calibri" w:cs="Times New Roman"/>
          <w:color w:val="222222"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222222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222222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222222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222222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222222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222222"/>
          <w:sz w:val="28"/>
          <w:szCs w:val="28"/>
          <w:lang w:eastAsia="en-US"/>
        </w:rPr>
      </w:r>
    </w:p>
    <w:p>
      <w:pPr>
        <w:pStyle w:val="693"/>
        <w:numPr>
          <w:ilvl w:val="0"/>
          <w:numId w:val="1"/>
        </w:numPr>
        <w:ind w:left="0" w:firstLine="705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вносятся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«Развитие градостроительства и архитектуры»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Петровского городского округа Ставропольского края от 29 декабря 2017 года № 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688"/>
          <w:rFonts w:ascii="Times New Roman" w:hAnsi="Times New Roman" w:eastAsia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Петровского городского округа Ставропольского края «Развитие градостроительства и архитектуры»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(в редакции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26 декабря 2018 года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2334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28 июня 2019 года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1379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before="5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– начальник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Сухомлинову</w:t>
      </w:r>
      <w:r>
        <w:rPr>
          <w:rFonts w:ascii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Петровского </w:t>
      </w:r>
      <w:r>
        <w:rPr>
          <w:rFonts w:ascii="Times New Roman" w:hAnsi="Times New Roman" w:cs="Times New Roman"/>
          <w:sz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Бабыкина</w:t>
      </w:r>
      <w:r>
        <w:rPr>
          <w:rFonts w:ascii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hAnsi="Times New Roman" w:cs="Times New Roman"/>
          <w:sz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муниципальную программу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Петровского городского округа Ставропольского края «Развитие градостроительства и архитектуры», утвержденную постановлением администрации Петровского городского округа Ставропольского края от 29 декабря 2017 года № 23 (в редакции от 26 декабря 2018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2334, от 28 июня 2019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1379)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вступает в силу со дня его подписания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Глава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Петровского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городского округа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Ставропольского края       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                                          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А.А.Захарченко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r>
    </w:p>
    <w:p>
      <w:pPr>
        <w:jc w:val="both"/>
        <w:spacing w:after="0" w:line="240" w:lineRule="exact"/>
        <w:rPr>
          <w:rFonts w:ascii="Times New Roman" w:hAnsi="Times New Roman" w:eastAsia="Calibri" w:cs="Times New Roman"/>
          <w:color w:val="ffffff" w:themeColor="background1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color w:val="ffffff" w:themeColor="background1"/>
          <w:sz w:val="28"/>
          <w:szCs w:val="28"/>
          <w:lang w:eastAsia="en-US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left"/>
              <w:spacing w:after="0" w:line="240" w:lineRule="exac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521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18 июля 2019 г. № 1499</w:t>
            </w:r>
            <w:bookmarkStart w:id="0" w:name="_GoBack"/>
            <w:r/>
            <w:bookmarkEnd w:id="0"/>
            <w:r/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ind w:left="-1418" w:right="1274"/>
        <w:jc w:val="center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18" w:right="1274"/>
        <w:jc w:val="right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18" w:right="1274"/>
        <w:jc w:val="both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1274"/>
        <w:jc w:val="center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"/>
        <w:jc w:val="both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рограмму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«Развитие градостроительства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18" w:right="1274"/>
        <w:jc w:val="both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паспорте подпрограммы «Градостроительство и выполнение отдельных функций в области строительства и архитектуры» муниципальной Программы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«Развитие градостроительства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» в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 позиции «Показатели решения з</w:t>
      </w:r>
      <w:r>
        <w:rPr>
          <w:rFonts w:ascii="Times New Roman" w:hAnsi="Times New Roman" w:cs="Times New Roman"/>
          <w:sz w:val="28"/>
          <w:szCs w:val="28"/>
        </w:rPr>
        <w:t xml:space="preserve">адач подпрограммы» после слов «</w:t>
      </w:r>
      <w:r>
        <w:rPr>
          <w:rFonts w:ascii="Times New Roman" w:hAnsi="Times New Roman" w:cs="Times New Roman"/>
          <w:sz w:val="28"/>
          <w:szCs w:val="28"/>
        </w:rPr>
        <w:t xml:space="preserve">выданных разрешений» дополнить словами «на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подпрограмм Программы» к Программе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2 пункта 2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 xml:space="preserve">редакции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Подготовка документов 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функций округа в сфере рекламы».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Графу 2 пункта 3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«Проведение комплексных кадастровых работ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ascii="Times New Roman" w:hAnsi="Times New Roman" w:eastAsia="Cambria" w:cs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 w:eastAsia="Cambria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Cambria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ascii="Times New Roman" w:hAnsi="Times New Roman" w:eastAsia="Cambria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Cambria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ascii="Times New Roman" w:hAnsi="Times New Roman" w:eastAsia="Cambria" w:cs="Times New Roman"/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rFonts w:ascii="Times New Roman" w:hAnsi="Times New Roman" w:eastAsia="Cambria" w:cs="Times New Roman"/>
          <w:sz w:val="28"/>
          <w:szCs w:val="28"/>
        </w:rPr>
        <w:t xml:space="preserve">   </w:t>
      </w:r>
      <w:r>
        <w:rPr>
          <w:rFonts w:ascii="Times New Roman" w:hAnsi="Times New Roman" w:eastAsia="Cambria" w:cs="Times New Roman"/>
          <w:sz w:val="28"/>
          <w:szCs w:val="28"/>
        </w:rPr>
        <w:t xml:space="preserve"> </w:t>
      </w:r>
      <w:r>
        <w:rPr>
          <w:rFonts w:ascii="Times New Roman" w:hAnsi="Times New Roman" w:eastAsia="Cambria" w:cs="Times New Roman"/>
          <w:sz w:val="28"/>
          <w:szCs w:val="28"/>
        </w:rPr>
        <w:t xml:space="preserve">В.В.Редькин</w:t>
      </w:r>
      <w:r>
        <w:rPr>
          <w:rFonts w:ascii="Times New Roman" w:hAnsi="Times New Roman" w:eastAsia="Cambria" w:cs="Times New Roman"/>
          <w:sz w:val="28"/>
          <w:szCs w:val="28"/>
        </w:rPr>
      </w:r>
    </w:p>
    <w:p>
      <w:pPr>
        <w:jc w:val="both"/>
        <w:spacing w:after="0" w:line="240" w:lineRule="exact"/>
        <w:rPr>
          <w:rFonts w:ascii="Times New Roman" w:hAnsi="Times New Roman" w:eastAsia="Cambria" w:cs="Times New Roman"/>
          <w:sz w:val="28"/>
          <w:szCs w:val="28"/>
        </w:rPr>
      </w:pPr>
      <w:r>
        <w:rPr>
          <w:rFonts w:ascii="Times New Roman" w:hAnsi="Times New Roman" w:eastAsia="Cambria" w:cs="Times New Roman"/>
          <w:sz w:val="28"/>
          <w:szCs w:val="28"/>
        </w:rPr>
      </w:r>
      <w:r>
        <w:rPr>
          <w:rFonts w:ascii="Times New Roman" w:hAnsi="Times New Roman" w:eastAsia="Cambria" w:cs="Times New Roman"/>
          <w:sz w:val="28"/>
          <w:szCs w:val="28"/>
        </w:rPr>
      </w:r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18" w:right="1274"/>
        <w:jc w:val="both"/>
        <w:spacing w:after="0" w:line="240" w:lineRule="exact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Symbol">
    <w:panose1 w:val="05010000000000000000"/>
  </w:font>
  <w:font w:name="Cambria">
    <w:panose1 w:val="02040503050406030204"/>
  </w:font>
  <w:font w:name="StarSymbol">
    <w:panose1 w:val="02000603000000000000"/>
  </w:font>
  <w:font w:name="Tahoma">
    <w:panose1 w:val="020B0604030504040204"/>
  </w:font>
  <w:font w:name="Lucida Sans Unicode">
    <w:panose1 w:val="020B0603030804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  <w:tabs>
          <w:tab w:val="num" w:pos="360" w:leader="none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isLgl w:val="false"/>
      <w:suff w:val="tab"/>
      <w:lvlText w:val="–"/>
      <w:lvlJc w:val="left"/>
      <w:pPr>
        <w:ind w:left="720" w:hanging="360"/>
        <w:tabs>
          <w:tab w:val="num" w:pos="720" w:leader="none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isLgl w:val="false"/>
      <w:suff w:val="tab"/>
      <w:lvlText w:val="–"/>
      <w:lvlJc w:val="left"/>
      <w:pPr>
        <w:ind w:left="1080" w:hanging="360"/>
        <w:tabs>
          <w:tab w:val="num" w:pos="1080" w:leader="none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isLgl w:val="false"/>
      <w:suff w:val="tab"/>
      <w:lvlText w:val="–"/>
      <w:lvlJc w:val="left"/>
      <w:pPr>
        <w:ind w:left="1440" w:hanging="360"/>
        <w:tabs>
          <w:tab w:val="num" w:pos="1440" w:leader="none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isLgl w:val="false"/>
      <w:suff w:val="tab"/>
      <w:lvlText w:val="–"/>
      <w:lvlJc w:val="left"/>
      <w:pPr>
        <w:ind w:left="1800" w:hanging="360"/>
        <w:tabs>
          <w:tab w:val="num" w:pos="1800" w:leader="none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isLgl w:val="false"/>
      <w:suff w:val="tab"/>
      <w:lvlText w:val="–"/>
      <w:lvlJc w:val="left"/>
      <w:pPr>
        <w:ind w:left="2160" w:hanging="360"/>
        <w:tabs>
          <w:tab w:val="num" w:pos="2160" w:leader="none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isLgl w:val="false"/>
      <w:suff w:val="tab"/>
      <w:lvlText w:val="–"/>
      <w:lvlJc w:val="left"/>
      <w:pPr>
        <w:ind w:left="2520" w:hanging="360"/>
        <w:tabs>
          <w:tab w:val="num" w:pos="2520" w:leader="none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isLgl w:val="false"/>
      <w:suff w:val="tab"/>
      <w:lvlText w:val="–"/>
      <w:lvlJc w:val="left"/>
      <w:pPr>
        <w:ind w:left="2880" w:hanging="360"/>
        <w:tabs>
          <w:tab w:val="num" w:pos="2880" w:leader="none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isLgl w:val="false"/>
      <w:suff w:val="tab"/>
      <w:lvlText w:val="–"/>
      <w:lvlJc w:val="left"/>
      <w:pPr>
        <w:ind w:left="3240" w:hanging="360"/>
        <w:tabs>
          <w:tab w:val="num" w:pos="3240" w:leader="none"/>
        </w:tabs>
      </w:pPr>
      <w:rPr>
        <w:rFonts w:ascii="StarSymbol" w:hAnsi="StarSymbol" w:cs="StarSymbol"/>
        <w:sz w:val="18"/>
        <w:szCs w:val="18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5" w:hanging="48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88" w:hanging="72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5" w:hanging="48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1"/>
    <w:next w:val="67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2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2"/>
    <w:link w:val="689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2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2"/>
    <w:link w:val="679"/>
    <w:uiPriority w:val="99"/>
  </w:style>
  <w:style w:type="character" w:styleId="45">
    <w:name w:val="Footer Char"/>
    <w:basedOn w:val="672"/>
    <w:link w:val="681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1"/>
    <w:uiPriority w:val="99"/>
  </w:style>
  <w:style w:type="table" w:styleId="48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2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2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qFormat/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paragraph" w:styleId="675" w:customStyle="1">
    <w:name w:val="ConsNonformat"/>
    <w:pPr>
      <w:ind w:right="19772"/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 w:customStyle="1">
    <w:name w:val="Style9"/>
    <w:basedOn w:val="671"/>
    <w:pPr>
      <w:ind w:firstLine="706"/>
      <w:spacing w:after="0" w:line="322" w:lineRule="exact"/>
      <w:widowControl w:val="off"/>
    </w:pPr>
    <w:rPr>
      <w:rFonts w:ascii="Times New Roman" w:hAnsi="Times New Roman" w:eastAsia="Times New Roman" w:cs="Times New Roman"/>
      <w:sz w:val="24"/>
      <w:szCs w:val="24"/>
    </w:rPr>
  </w:style>
  <w:style w:type="character" w:styleId="678" w:customStyle="1">
    <w:name w:val="Font Style13"/>
    <w:basedOn w:val="672"/>
    <w:rPr>
      <w:rFonts w:ascii="Times New Roman" w:hAnsi="Times New Roman" w:cs="Times New Roman"/>
      <w:sz w:val="26"/>
      <w:szCs w:val="26"/>
    </w:rPr>
  </w:style>
  <w:style w:type="paragraph" w:styleId="679">
    <w:name w:val="Header"/>
    <w:basedOn w:val="671"/>
    <w:link w:val="68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0" w:customStyle="1">
    <w:name w:val="Верхний колонтитул Знак"/>
    <w:basedOn w:val="672"/>
    <w:link w:val="679"/>
    <w:uiPriority w:val="99"/>
    <w:semiHidden/>
  </w:style>
  <w:style w:type="paragraph" w:styleId="681">
    <w:name w:val="Footer"/>
    <w:basedOn w:val="671"/>
    <w:link w:val="68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2" w:customStyle="1">
    <w:name w:val="Нижний колонтитул Знак"/>
    <w:basedOn w:val="672"/>
    <w:link w:val="681"/>
    <w:uiPriority w:val="99"/>
    <w:semiHidden/>
  </w:style>
  <w:style w:type="paragraph" w:styleId="683">
    <w:name w:val="Body Text Indent"/>
    <w:basedOn w:val="671"/>
    <w:link w:val="684"/>
    <w:uiPriority w:val="99"/>
    <w:semiHidden/>
    <w:pPr>
      <w:ind w:left="283"/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84" w:customStyle="1">
    <w:name w:val="Основной текст с отступом Знак"/>
    <w:basedOn w:val="672"/>
    <w:link w:val="683"/>
    <w:uiPriority w:val="99"/>
    <w:semiHidden/>
    <w:rPr>
      <w:rFonts w:ascii="Times New Roman" w:hAnsi="Times New Roman" w:eastAsia="Times New Roman" w:cs="Times New Roman"/>
      <w:sz w:val="24"/>
      <w:szCs w:val="24"/>
    </w:rPr>
  </w:style>
  <w:style w:type="paragraph" w:styleId="685">
    <w:name w:val="Body Text 2"/>
    <w:basedOn w:val="671"/>
    <w:link w:val="686"/>
    <w:uiPriority w:val="99"/>
    <w:semiHidden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86" w:customStyle="1">
    <w:name w:val="Основной текст 2 Знак"/>
    <w:basedOn w:val="672"/>
    <w:link w:val="685"/>
    <w:uiPriority w:val="99"/>
    <w:semiHidden/>
    <w:rPr>
      <w:rFonts w:ascii="Times New Roman" w:hAnsi="Times New Roman" w:eastAsia="Times New Roman" w:cs="Times New Roman"/>
      <w:sz w:val="24"/>
      <w:szCs w:val="24"/>
    </w:rPr>
  </w:style>
  <w:style w:type="paragraph" w:styleId="687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character" w:styleId="688" w:customStyle="1">
    <w:name w:val="fontstyle13"/>
    <w:basedOn w:val="672"/>
  </w:style>
  <w:style w:type="paragraph" w:styleId="689">
    <w:name w:val="Title"/>
    <w:basedOn w:val="671"/>
    <w:link w:val="69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690" w:customStyle="1">
    <w:name w:val="Название Знак"/>
    <w:basedOn w:val="672"/>
    <w:link w:val="689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691" w:customStyle="1">
    <w:name w:val="Т-1"/>
    <w:basedOn w:val="671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692" w:customStyle="1">
    <w:name w:val="ConsTitle"/>
    <w:pPr>
      <w:ind w:right="19772"/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Body Text"/>
    <w:basedOn w:val="671"/>
    <w:link w:val="695"/>
    <w:semiHidden/>
    <w:pPr>
      <w:spacing w:after="120" w:line="240" w:lineRule="auto"/>
      <w:widowControl w:val="off"/>
    </w:pPr>
    <w:rPr>
      <w:rFonts w:ascii="Times New Roman" w:hAnsi="Times New Roman" w:eastAsia="Lucida Sans Unicode" w:cs="Times New Roman"/>
      <w:sz w:val="24"/>
      <w:szCs w:val="20"/>
    </w:rPr>
  </w:style>
  <w:style w:type="character" w:styleId="695" w:customStyle="1">
    <w:name w:val="Основной текст Знак"/>
    <w:basedOn w:val="672"/>
    <w:link w:val="694"/>
    <w:rPr>
      <w:rFonts w:ascii="Times New Roman" w:hAnsi="Times New Roman" w:eastAsia="Lucida Sans Unicode" w:cs="Times New Roman"/>
      <w:sz w:val="24"/>
      <w:szCs w:val="20"/>
    </w:rPr>
  </w:style>
  <w:style w:type="paragraph" w:styleId="696">
    <w:name w:val="Balloon Text"/>
    <w:basedOn w:val="671"/>
    <w:link w:val="69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7" w:customStyle="1">
    <w:name w:val="Текст выноски Знак"/>
    <w:basedOn w:val="672"/>
    <w:link w:val="69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D565-77DE-4969-B355-6DB415BA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Петровского муниципального района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revision>3</cp:revision>
  <dcterms:created xsi:type="dcterms:W3CDTF">2019-07-19T06:08:00Z</dcterms:created>
  <dcterms:modified xsi:type="dcterms:W3CDTF">2024-03-21T13:12:16Z</dcterms:modified>
</cp:coreProperties>
</file>