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Петровского городского округа 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bookmarkStart w:id="0" w:name="_Hlk35008088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Модернизация экономики и улучшение инвестиционного климата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489602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Петр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Модернизация экономики и улучшение инвестиционного климата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финансовым управлением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Методики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 реализации муниципальных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27.02.2019 г</w:t>
      </w:r>
      <w:r>
        <w:rPr>
          <w:rFonts w:ascii="Times New Roman" w:hAnsi="Times New Roman" w:cs="Times New Roman"/>
          <w:sz w:val="28"/>
          <w:szCs w:val="28"/>
        </w:rPr>
        <w:t xml:space="preserve">. № 445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21.04.2021 г.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реализации и оценки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окр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11.04.2018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 xml:space="preserve">10.01.2024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план-фактном анализе результатов её реализации и затраченных ресурсов на их реализацию, что полностью соотв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етствует принципу эффективности использования бюджетных средств, как определено статьей 34 Бюджетного кодекса Российской Федерации.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анализа степени достижения целей муниципальной программы и решения задач подпрограмм Программы (прил.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Сведен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о дос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тижении значений индикаторов достижения целей Программы и показателей решения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дач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0,00%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(из 4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запланированных индикаторов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стигнуты следующие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ндекс физического объема инвестиций в основной капитал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Индекс физического объема инвестиций в основной капитал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достигну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с отрицательной динамикой);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реднее отклонение фактических значений показателей социально-экономического развития округа от прогнозируемых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достигну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тельной динамикой);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оля среднесписочной численности работников (без внешних совместителей) малых и средних предприятий в среднесписочной численности работников (без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внешних совместителей) всех предпр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иятий и 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достигну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тельной динамикой)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редняя степень решения задач подпрограмм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128,89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достигнуты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тигнут с положительной динамик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показатель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субъектов малого и среднего предпринимательства, получивших муниципальную поддержку (нарастающим итогом)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сопоставлении результатов полноты и своевременности выполнения мероприятий муниципальной программы (прил.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Сведения о степени выпол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нения основных мероприятий подпрограмм, мероприятий и контрольных событий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рограммы) можно судить о результативности качественных характеристик муниципальной программы в разрезе подпрограмм, основных мероприятий подпрограмм и контрольных событий.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новных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выполнены в полном 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качества управления муниципальной программой рассматривалось соответствие фактических сроков наступления контрольных событий с их запланированными сроками. В результате установлено: из за</w:t>
      </w:r>
      <w:r>
        <w:rPr>
          <w:rFonts w:ascii="Times New Roman" w:hAnsi="Times New Roman" w:cs="Times New Roman"/>
          <w:sz w:val="28"/>
          <w:szCs w:val="28"/>
        </w:rPr>
        <w:t xml:space="preserve">планированных к исполнению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событий выполнено </w:t>
      </w:r>
      <w:r>
        <w:rPr>
          <w:rFonts w:ascii="Times New Roman" w:hAnsi="Times New Roman" w:cs="Times New Roman"/>
          <w:sz w:val="28"/>
          <w:szCs w:val="28"/>
        </w:rPr>
        <w:t xml:space="preserve">37, </w:t>
      </w:r>
      <w:r>
        <w:rPr>
          <w:rFonts w:ascii="Times New Roman" w:hAnsi="Times New Roman" w:cs="Times New Roman"/>
          <w:sz w:val="28"/>
          <w:szCs w:val="28"/>
        </w:rPr>
        <w:t xml:space="preserve">степен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100,00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bookmarkEnd w:id="1"/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Степень соответствия фактических расходов местного бюджета их запланированному уровню (прил.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Отче</w:t>
      </w:r>
      <w:r>
        <w:rPr>
          <w:rFonts w:ascii="Times New Roman" w:hAnsi="Times New Roman" w:cs="Times New Roman"/>
          <w:sz w:val="28"/>
          <w:szCs w:val="28"/>
        </w:rPr>
        <w:t xml:space="preserve">т об использовании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Петровского городского округа Ставропольского края на 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83,06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«Модернизация экономик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и улучшение инвестиционного климата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61,56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соответствует оценке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эффективная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Ответственному исполнителю Программы необх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одимо улучшить степень прогнозирования 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целей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и решения задач подпрограмм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анная муниципальная программа целесообразна к финансированию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</w:t>
      </w:r>
      <w:r>
        <w:rPr>
          <w:rFonts w:ascii="Times New Roman" w:hAnsi="Times New Roman" w:cs="Times New Roman"/>
          <w:sz w:val="28"/>
          <w:szCs w:val="28"/>
        </w:rPr>
        <w:t xml:space="preserve">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Е.С.Меркулова</w:t>
      </w:r>
    </w:p>
    <w:sectPr>
      <w:type w:val="nextPage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rPr>
      <w:rFonts w:ascii="Arial" w:hAnsi="Arial" w:cs="Arial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1">
    <w:name w:val="Текст выноски Знак"/>
    <w:next w:val="UserStyle_1"/>
    <w:link w:val="Acetat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3774</Characters>
  <CharactersWithSpaces>4427</CharactersWithSpaces>
  <Company>FU</Company>
  <DocSecurity>0</DocSecurity>
  <HyperlinksChanged>false</HyperlinksChanged>
  <Lines>31</Lines>
  <Pages>2</Pages>
  <Paragraphs>8</Paragraphs>
  <ScaleCrop>false</ScaleCrop>
  <SharedDoc>false</SharedDoc>
  <Template>Normal</Template>
  <Words>661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PeMoGI</cp:lastModifiedBy>
  <cp:revision>10</cp:revision>
  <dcterms:created xsi:type="dcterms:W3CDTF">2023-02-08T06:12:00Z</dcterms:created>
  <dcterms:modified xsi:type="dcterms:W3CDTF">2024-04-15T07:58:00Z</dcterms:modified>
  <cp:version>1048576</cp:version>
</cp:coreProperties>
</file>