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городского округа Ставропольского края 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bookmarkStart w:id="0" w:name="_Hlk3481337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транспортной системы и обеспечение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безопасности дорожного движения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489602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ной программы Петровского городского 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Ставропольского края «</w:t>
      </w:r>
      <w:bookmarkStart w:id="2" w:name="_Hlk3481374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транспортной системы и обеспечение безопасности дорожного движения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финансовым управлением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Методики </w:t>
      </w:r>
      <w:r>
        <w:rPr>
          <w:rFonts w:ascii="Times New Roman" w:hAnsi="Times New Roman" w:cs="Times New Roman"/>
          <w:sz w:val="28"/>
          <w:szCs w:val="28"/>
        </w:rPr>
        <w:t xml:space="preserve">оценки эффективности  реализации муниципальных программ 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утвержденной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авропольского края от 27.02.2019 г. № 445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21.04.2021 г. № 632</w:t>
      </w:r>
      <w:r>
        <w:rPr>
          <w:rFonts w:ascii="Times New Roman" w:hAnsi="Times New Roman" w:cs="Times New Roman"/>
          <w:sz w:val="28"/>
          <w:szCs w:val="28"/>
        </w:rPr>
        <w:t xml:space="preserve">) и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разработки, реализации и оценки эффективности муниципальных программ 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утвержденного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11.04.2018 г. № 528 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sz w:val="28"/>
          <w:szCs w:val="28"/>
        </w:rPr>
        <w:t xml:space="preserve">10.01.2024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основана на план- фактном анализе результатов её реализации и затраченных ресурсов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их реализацию, что полностью соответствует принципу эффективности использования бюджетных средств, как определено статьей 34 Бю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джетного кодекса Российской Федерации.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Hlk33608856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итогам анализа степени достижения целей муниципальной программы и решения задач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дпрограмм Программы (прил. 1: Сведения о достижении значений индикаторов достижения цел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ей Программы и показателей решения 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адач подпрограмм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Программы), степень достижения целей муниципальной программы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133,33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запланированных индикаторов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стижения целей выполнены)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средняя степень решения задач подпрограмм Программы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100,00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достигнуты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сопоставлении результатов полноты и своевременности выполнения мероприятий муниципальной программы (прил.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Сведения о степени выполнения основных мероприятий подпрограмм, мероприятий и контрольных событий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рограммы) можно судить о результативности качественных характеристик муниципальной программы в разрезе подпрограмм, основных мероприятий подпрограмм и конт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рольных событий.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полном объеме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качества управления муниципальной программой рассматривалось соответствие фактических сроков наступления контрольных событий с их запланированным</w:t>
      </w:r>
      <w:r>
        <w:rPr>
          <w:rFonts w:ascii="Times New Roman" w:hAnsi="Times New Roman" w:cs="Times New Roman"/>
          <w:sz w:val="28"/>
          <w:szCs w:val="28"/>
        </w:rPr>
        <w:t xml:space="preserve">и сроками. В результате установлено: из запланированных к исполнению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событи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выполнено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степен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качества управления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 xml:space="preserve">100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bookmarkEnd w:id="2"/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Степень соответствия фактических расходов местного бюджета их з</w:t>
      </w:r>
      <w:r>
        <w:rPr>
          <w:rFonts w:ascii="Times New Roman" w:hAnsi="Times New Roman" w:cs="Times New Roman"/>
          <w:sz w:val="28"/>
          <w:szCs w:val="28"/>
        </w:rPr>
        <w:t xml:space="preserve">апланированному уровню (прил.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 бюджета Петровского городского округа Ставропольского края на реализацию Программы</w:t>
      </w:r>
      <w:r>
        <w:rPr>
          <w:rFonts w:ascii="Times New Roman" w:hAnsi="Times New Roman" w:cs="Times New Roman"/>
          <w:sz w:val="28"/>
          <w:szCs w:val="28"/>
        </w:rPr>
        <w:t xml:space="preserve">) достигла </w:t>
      </w:r>
      <w:r>
        <w:rPr>
          <w:rFonts w:ascii="Times New Roman" w:hAnsi="Times New Roman" w:cs="Times New Roman"/>
          <w:sz w:val="28"/>
          <w:szCs w:val="28"/>
        </w:rPr>
        <w:t xml:space="preserve">90,34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 xml:space="preserve">Не в полном объеме израсходованы бюджетные ассигнования за счет субсиди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капитальный </w:t>
      </w:r>
      <w:r>
        <w:rPr>
          <w:rFonts w:ascii="Times New Roman" w:hAnsi="Times New Roman" w:cs="Times New Roman"/>
          <w:sz w:val="28"/>
          <w:szCs w:val="28"/>
        </w:rPr>
        <w:t xml:space="preserve">рем</w:t>
      </w:r>
      <w:r>
        <w:rPr>
          <w:rFonts w:ascii="Times New Roman" w:hAnsi="Times New Roman" w:cs="Times New Roman"/>
          <w:sz w:val="28"/>
          <w:szCs w:val="28"/>
        </w:rPr>
        <w:t xml:space="preserve">онт</w:t>
      </w:r>
      <w:r>
        <w:rPr>
          <w:rFonts w:ascii="Times New Roman" w:hAnsi="Times New Roman" w:cs="Times New Roman"/>
          <w:sz w:val="28"/>
          <w:szCs w:val="28"/>
        </w:rPr>
        <w:t xml:space="preserve"> и ремонт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данных субсидий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ввиду заключения долгосрочных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анализа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показателя</w:t>
      </w:r>
      <w:r>
        <w:rPr>
          <w:rFonts w:ascii="Times New Roman" w:hAnsi="Times New Roman" w:cs="Times New Roman"/>
          <w:sz w:val="28"/>
          <w:szCs w:val="28"/>
        </w:rPr>
        <w:t xml:space="preserve"> эффектив</w:t>
      </w:r>
      <w:r>
        <w:rPr>
          <w:rFonts w:ascii="Times New Roman" w:hAnsi="Times New Roman" w:cs="Times New Roman"/>
          <w:sz w:val="28"/>
          <w:szCs w:val="28"/>
        </w:rPr>
        <w:t xml:space="preserve">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транспортной системы и обеспечение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116,67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%, что соответствует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выше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сравнению с прошлым годом показатель улучшен (в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оце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нка эффективности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104,88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выше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плановой»).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анная муниципальная программа эффективна, целесообразна к финансированию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Normal"/>
        <w:spacing w:after="0"/>
        <w:rPr>
          <w:rFonts w:ascii="Times New Roman" w:hAnsi="Times New Roman" w:cs="Times New Roman"/>
          <w:sz w:val="24"/>
          <w:szCs w:val="24"/>
        </w:rPr>
      </w:pPr>
      <w:bookmarkEnd w:id="3"/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</w:t>
      </w:r>
      <w:r>
        <w:rPr>
          <w:rFonts w:ascii="Times New Roman" w:hAnsi="Times New Roman" w:cs="Times New Roman"/>
          <w:sz w:val="28"/>
          <w:szCs w:val="28"/>
        </w:rPr>
        <w:t xml:space="preserve">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Е.С.Меркулова</w:t>
      </w:r>
    </w:p>
    <w:sectPr>
      <w:type w:val="nextPage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Acetate">
    <w:name w:val="Текст выноски"/>
    <w:basedOn w:val="Normal"/>
    <w:next w:val="Acetate"/>
    <w:link w:val="UserStyle_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0">
    <w:name w:val="Текст выноски Знак"/>
    <w:next w:val="UserStyle_0"/>
    <w:link w:val="Acetate"/>
    <w:rPr>
      <w:rFonts w:ascii="Segoe UI" w:hAnsi="Segoe UI" w:cs="Segoe UI"/>
      <w:sz w:val="18"/>
      <w:szCs w:val="18"/>
      <w:lang w:eastAsia="en-US"/>
    </w:rPr>
  </w:style>
  <w:style w:type="paragraph" w:styleId="UserStyle_1">
    <w:name w:val="ConsPlusNormal"/>
    <w:next w:val="UserStyle_1"/>
    <w:link w:val="Normal"/>
    <w:rPr>
      <w:rFonts w:ascii="Arial" w:hAnsi="Arial" w:cs="Arial"/>
      <w:lang w:val="ru-RU" w:eastAsia="ru-RU" w:bidi="ar-SA"/>
    </w:rPr>
  </w:style>
  <w:style w:type="paragraph" w:styleId="UserStyle_2">
    <w:name w:val=" Знак"/>
    <w:basedOn w:val="Normal"/>
    <w:next w:val="UserStyle_2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3370</Characters>
  <CharactersWithSpaces>3954</CharactersWithSpaces>
  <Company>FU</Company>
  <DocSecurity>0</DocSecurity>
  <HyperlinksChanged>false</HyperlinksChanged>
  <Lines>28</Lines>
  <Pages>2</Pages>
  <Paragraphs>7</Paragraphs>
  <ScaleCrop>false</ScaleCrop>
  <SharedDoc>false</SharedDoc>
  <Template>Normal</Template>
  <Words>591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PeMoGI</cp:lastModifiedBy>
  <cp:revision>9</cp:revision>
  <dcterms:created xsi:type="dcterms:W3CDTF">2023-02-08T06:13:00Z</dcterms:created>
  <dcterms:modified xsi:type="dcterms:W3CDTF">2024-04-15T07:59:00Z</dcterms:modified>
  <cp:version>1048576</cp:version>
</cp:coreProperties>
</file>