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489602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Петровского городского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Методи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27.02.2019 г. № 445  </w:t>
      </w:r>
      <w:bookmarkStart w:id="1" w:name="_Hlk99024278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</w:t>
      </w:r>
      <w:r>
        <w:rPr>
          <w:rFonts w:ascii="Times New Roman" w:hAnsi="Times New Roman" w:cs="Times New Roman"/>
          <w:sz w:val="28"/>
          <w:szCs w:val="28"/>
        </w:rPr>
        <w:t xml:space="preserve">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 xml:space="preserve">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план-фактном анализе результатов её реализации и затраченных ресурсов на их реализацию, что полностью соответствует принципу эффективности испо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льзования бюджетных средств, как определено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подпрограмм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достижении значений индикаторов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целей Программы и показателей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запланированных 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целей выполнены)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средняя степень решения задач подпрограмм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120,83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Сведения о степени выполнения основных 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мероприятий выполнены в полном объеме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запланированными сроками.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установлено: из запланированных к исполнению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событий выполнено </w:t>
      </w:r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88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bookmarkEnd w:id="1"/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Степень соответствия фактических расходов местного бюджета их запланированно</w:t>
      </w:r>
      <w:r>
        <w:rPr>
          <w:rFonts w:ascii="Times New Roman" w:hAnsi="Times New Roman" w:cs="Times New Roman"/>
          <w:sz w:val="28"/>
          <w:szCs w:val="28"/>
        </w:rPr>
        <w:t xml:space="preserve">му уровню (прил.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Петровского городского округа Ставропольского края на реализацию Программы</w:t>
      </w:r>
      <w:r>
        <w:rPr>
          <w:rFonts w:ascii="Times New Roman" w:hAnsi="Times New Roman" w:cs="Times New Roman"/>
          <w:sz w:val="28"/>
          <w:szCs w:val="28"/>
        </w:rPr>
        <w:t xml:space="preserve">) достигла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6,</w:t>
      </w:r>
      <w:r>
        <w:rPr>
          <w:rFonts w:ascii="Times New Roman" w:hAnsi="Times New Roman" w:cs="Times New Roman"/>
          <w:sz w:val="28"/>
          <w:szCs w:val="28"/>
        </w:rPr>
        <w:t xml:space="preserve">64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119,13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сравнении с итогами реализации Программы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год, данный показатель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21,30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(</w:t>
      </w:r>
      <w:r>
        <w:rPr>
          <w:rFonts w:ascii="Times New Roman" w:hAnsi="Times New Roman"/>
          <w:sz w:val="28"/>
          <w:szCs w:val="28"/>
        </w:rPr>
        <w:t xml:space="preserve">оценка эффективности за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 имела знач</w:t>
      </w:r>
      <w:r>
        <w:rPr>
          <w:rFonts w:ascii="Times New Roman" w:hAnsi="Times New Roman"/>
          <w:sz w:val="28"/>
          <w:szCs w:val="28"/>
        </w:rPr>
        <w:t xml:space="preserve">ение «планов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эффективна,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</w:t>
      </w:r>
      <w:r>
        <w:rPr>
          <w:rFonts w:ascii="Times New Roman" w:hAnsi="Times New Roman" w:cs="Times New Roman"/>
          <w:sz w:val="28"/>
          <w:szCs w:val="28"/>
        </w:rPr>
        <w:t xml:space="preserve">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Е.С.Меркулова</w:t>
      </w:r>
    </w:p>
    <w:sectPr>
      <w:type w:val="nextPage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0">
    <w:name w:val="Текст выноски Знак"/>
    <w:next w:val="UserStyle_0"/>
    <w:link w:val="Acetate"/>
    <w:rPr>
      <w:rFonts w:ascii="Segoe UI" w:hAnsi="Segoe UI" w:cs="Segoe UI"/>
      <w:sz w:val="18"/>
      <w:szCs w:val="18"/>
      <w:lang w:eastAsia="en-US"/>
    </w:rPr>
  </w:style>
  <w:style w:type="paragraph" w:styleId="UserStyle_1">
    <w:name w:val="ConsPlusNormal"/>
    <w:next w:val="UserStyle_1"/>
    <w:link w:val="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3062</Characters>
  <CharactersWithSpaces>3592</CharactersWithSpaces>
  <Company>FU</Company>
  <DocSecurity>0</DocSecurity>
  <HyperlinksChanged>false</HyperlinksChanged>
  <Lines>25</Lines>
  <Pages>2</Pages>
  <Paragraphs>7</Paragraphs>
  <ScaleCrop>false</ScaleCrop>
  <SharedDoc>false</SharedDoc>
  <Template>Normal</Template>
  <Words>537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10</cp:revision>
  <dcterms:created xsi:type="dcterms:W3CDTF">2023-02-08T06:10:00Z</dcterms:created>
  <dcterms:modified xsi:type="dcterms:W3CDTF">2024-04-15T07:36:00Z</dcterms:modified>
  <cp:version>1048576</cp:version>
</cp:coreProperties>
</file>