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29"/>
        <w:rPr/>
      </w:pPr>
      <w:r>
        <w:rPr/>
        <w:t xml:space="preserve">П О С Т А Н О В Л Е Н И Е </w:t>
      </w:r>
    </w:p>
    <w:p>
      <w:pPr>
        <w:pStyle w:val="Style2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9"/>
        <w:rPr/>
      </w:pPr>
      <w:r>
        <w:rPr>
          <w:b w:val="false"/>
          <w:bCs w:val="false"/>
          <w:sz w:val="24"/>
          <w:szCs w:val="24"/>
        </w:rPr>
        <w:t>АДМИНИСТРАЦИИ ПЕТРОВСКОГО МУНИЦИПАЛЬНОГО ОКРУГА</w:t>
      </w:r>
    </w:p>
    <w:p>
      <w:pPr>
        <w:pStyle w:val="Style29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 </w:t>
      </w:r>
      <w:r>
        <w:rPr>
          <w:b w:val="false"/>
          <w:bCs w:val="false"/>
          <w:sz w:val="24"/>
          <w:szCs w:val="24"/>
        </w:rPr>
        <w:t>СТАВРОПОЛЬСКОГО КРАЯ</w:t>
      </w:r>
    </w:p>
    <w:p>
      <w:pPr>
        <w:pStyle w:val="Style29"/>
        <w:rPr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tbl>
      <w:tblPr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9"/>
        <w:gridCol w:w="3171"/>
        <w:gridCol w:w="3336"/>
      </w:tblGrid>
      <w:tr>
        <w:trPr>
          <w:trHeight w:val="189" w:hRule="atLeast"/>
        </w:trPr>
        <w:tc>
          <w:tcPr>
            <w:tcW w:w="2849" w:type="dxa"/>
            <w:tcBorders/>
          </w:tcPr>
          <w:p>
            <w:pPr>
              <w:pStyle w:val="Style29"/>
              <w:snapToGrid w:val="false"/>
              <w:jc w:val="both"/>
              <w:rPr>
                <w:b w:val="false"/>
                <w:bCs w:val="false"/>
                <w:sz w:val="24"/>
                <w:szCs w:val="24"/>
                <w:lang w:val="ru-RU" w:eastAsia="ru-RU"/>
              </w:rPr>
            </w:pPr>
            <w:r>
              <w:rPr>
                <w:b w:val="false"/>
                <w:bCs w:val="false"/>
                <w:sz w:val="24"/>
                <w:szCs w:val="24"/>
                <w:lang w:val="ru-RU" w:eastAsia="ru-RU"/>
              </w:rPr>
            </w:r>
          </w:p>
        </w:tc>
        <w:tc>
          <w:tcPr>
            <w:tcW w:w="3171" w:type="dxa"/>
            <w:tcBorders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г. Светлоград</w:t>
            </w:r>
          </w:p>
        </w:tc>
        <w:tc>
          <w:tcPr>
            <w:tcW w:w="3336" w:type="dxa"/>
            <w:tcBorders/>
          </w:tcPr>
          <w:p>
            <w:pPr>
              <w:pStyle w:val="Style29"/>
              <w:jc w:val="right"/>
              <w:rPr>
                <w:b w:val="false"/>
                <w:bCs w:val="false"/>
                <w:sz w:val="24"/>
                <w:szCs w:val="24"/>
                <w:lang w:val="ru-RU" w:eastAsia="ru-RU"/>
              </w:rPr>
            </w:pPr>
            <w:r>
              <w:rPr>
                <w:b w:val="false"/>
                <w:bCs w:val="false"/>
                <w:sz w:val="24"/>
                <w:szCs w:val="24"/>
                <w:lang w:val="ru-RU" w:eastAsia="ru-RU"/>
              </w:rPr>
              <w:t xml:space="preserve">№ </w:t>
            </w:r>
          </w:p>
        </w:tc>
      </w:tr>
    </w:tbl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31"/>
          <w:rFonts w:cs="Times New Roman" w:ascii="Times New Roman" w:hAnsi="Times New Roman"/>
          <w:sz w:val="28"/>
          <w:szCs w:val="28"/>
        </w:rPr>
        <w:t xml:space="preserve">Об утверждении муниципальной программы </w:t>
      </w:r>
      <w:r>
        <w:rPr>
          <w:rFonts w:cs="Times New Roman" w:ascii="Times New Roman" w:hAnsi="Times New Roman"/>
          <w:sz w:val="28"/>
          <w:szCs w:val="28"/>
        </w:rPr>
        <w:t>Петровского муниципального округа Ставропольского края «Формирование современной городской среды»</w:t>
      </w:r>
    </w:p>
    <w:p>
      <w:pPr>
        <w:pStyle w:val="Normal"/>
        <w:spacing w:lineRule="exact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Title"/>
        <w:ind w:firstLine="709" w:right="0"/>
        <w:jc w:val="both"/>
        <w:rPr>
          <w:rFonts w:ascii="Times New Roman" w:hAnsi="Times New Roman" w:cs="Times New Roman"/>
          <w:b w:val="false"/>
          <w:sz w:val="28"/>
          <w:szCs w:val="28"/>
        </w:rPr>
      </w:pPr>
      <w:r>
        <w:rPr>
          <w:rFonts w:eastAsia="Calibri" w:cs="Times New Roman" w:ascii="Times New Roman" w:hAnsi="Times New Roman"/>
          <w:b w:val="false"/>
          <w:sz w:val="28"/>
          <w:szCs w:val="28"/>
          <w:lang w:eastAsia="en-US"/>
        </w:rPr>
        <w:t>В соответствии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Петровского городского округа Ставропольского края от 11 апреля 2018 г. № 528 «Об утверждении Порядка разработки, реализации и оценки эффективности муниципальных программ Петровского муниципального округа Ставропольского края» (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  <w:lang w:eastAsia="en-US"/>
        </w:rPr>
        <w:t>в редакции      от 10 января 2024 г. № 03, от 07 мая 2024 № 778</w:t>
      </w:r>
      <w:r>
        <w:rPr>
          <w:rFonts w:eastAsia="Calibri" w:cs="Times New Roman" w:ascii="Times New Roman" w:hAnsi="Times New Roman"/>
          <w:b w:val="false"/>
          <w:sz w:val="28"/>
          <w:szCs w:val="28"/>
          <w:lang w:eastAsia="en-US"/>
        </w:rPr>
        <w:t xml:space="preserve">), </w:t>
      </w:r>
      <w:r>
        <w:rPr>
          <w:rFonts w:cs="Times New Roman" w:ascii="Times New Roman" w:hAnsi="Times New Roman"/>
          <w:b w:val="false"/>
          <w:sz w:val="28"/>
          <w:szCs w:val="28"/>
        </w:rPr>
        <w:t>администрация Петровского муниципального округа Ставропольского края</w:t>
      </w:r>
    </w:p>
    <w:p>
      <w:pPr>
        <w:pStyle w:val="Normal"/>
        <w:widowControl w:val="false"/>
        <w:spacing w:lineRule="exact" w:line="240" w:before="0"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ПОСТАНОВЛЯЕТ:</w:t>
      </w:r>
    </w:p>
    <w:p>
      <w:pPr>
        <w:pStyle w:val="Normal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Утвердить прилагаемую муниципальную программу Петровского муниципального округа Ставропольского края 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»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autoSpaceDE w:val="false"/>
        <w:spacing w:lineRule="auto" w:line="240" w:before="0" w:after="0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fill="FFFFFF" w:val="clear"/>
        <w:spacing w:lineRule="auto" w:line="240" w:before="0" w:after="0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Контроль за выполнением настоящего постановления оставляю за собой и возложить на первого заместителя главы администрации Петровского муниципального округа Ставропольского края Бабыкина А.И.</w:t>
      </w:r>
    </w:p>
    <w:p>
      <w:pPr>
        <w:pStyle w:val="Normal"/>
        <w:autoSpaceDE w:val="false"/>
        <w:spacing w:lineRule="auto" w:line="240" w:before="0" w:after="0"/>
        <w:ind w:firstLine="567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 Разместить настоящее постановление на официальном сайте администрации Петровского муниципального округа Ставропольского края в информационно-телекоммуникационной сети «Интернет» и опубликовать в газете «Вестник Петровского муниципального округа».</w:t>
      </w:r>
    </w:p>
    <w:p>
      <w:pPr>
        <w:pStyle w:val="Normal"/>
        <w:autoSpaceDE w:val="false"/>
        <w:spacing w:lineRule="auto" w:line="240" w:before="0" w:after="0"/>
        <w:ind w:firstLine="567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auto" w:line="240" w:before="0" w:after="0"/>
        <w:ind w:firstLine="567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4. Настоящее постановление вступает в силу с 01 января 2025 года и применяется при формировании проекта бюджета Петровского муниципального округа Ставропольского края на 2025 год и плановый период 2026 и 2027 годов.</w:t>
      </w:r>
    </w:p>
    <w:p>
      <w:pPr>
        <w:pStyle w:val="Normal"/>
        <w:autoSpaceDE w:val="false"/>
        <w:spacing w:lineRule="auto" w:line="240" w:before="0" w:after="0"/>
        <w:ind w:firstLine="567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autoSpaceDE w:val="false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Петровского</w:t>
      </w:r>
    </w:p>
    <w:p>
      <w:pPr>
        <w:pStyle w:val="Normal"/>
        <w:autoSpaceDE w:val="false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муниципального округа</w:t>
      </w:r>
    </w:p>
    <w:p>
      <w:pPr>
        <w:pStyle w:val="Normal"/>
        <w:autoSpaceDE w:val="false"/>
        <w:spacing w:lineRule="exact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Ставропольского края                                                                         Н.В.Конкина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ind w:right="-2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Проект постановления вносит первый заместитель главы администрации Петровского муниципального округа Ставропольского края                               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А.И.Бабыкин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cs="Times New Roman" w:ascii="Times New Roman" w:hAnsi="Times New Roman"/>
          <w:sz w:val="28"/>
          <w:szCs w:val="28"/>
          <w:highlight w:val="yellow"/>
        </w:rPr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Визируют:</w:t>
      </w:r>
    </w:p>
    <w:p>
      <w:pPr>
        <w:pStyle w:val="Style31"/>
        <w:spacing w:lineRule="exact" w:line="240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Style31"/>
        <w:spacing w:lineRule="exact" w:line="240"/>
        <w:ind w:right="-2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Style31"/>
        <w:spacing w:lineRule="exact" w:line="240"/>
        <w:ind w:firstLine="1418" w:left="-1418" w:righ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Начальник финансового </w:t>
      </w:r>
    </w:p>
    <w:p>
      <w:pPr>
        <w:pStyle w:val="Style31"/>
        <w:spacing w:lineRule="exact" w:line="240"/>
        <w:ind w:firstLine="1418" w:left="-1418" w:righ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управления администрации </w:t>
      </w:r>
    </w:p>
    <w:p>
      <w:pPr>
        <w:pStyle w:val="Style31"/>
        <w:spacing w:lineRule="exact" w:line="240"/>
        <w:ind w:firstLine="1418" w:left="-1418" w:righ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Петровского муниципального </w:t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округа Ставропольского края</w:t>
        <w:tab/>
        <w:tab/>
        <w:tab/>
        <w:t xml:space="preserve">                                   Е.С.Меркулова</w:t>
      </w:r>
    </w:p>
    <w:p>
      <w:pPr>
        <w:pStyle w:val="Style31"/>
        <w:spacing w:lineRule="exact" w:line="24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spacing w:lineRule="exact" w:line="24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Начальник отдела стратегического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планирования и инвестиций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администрации Петровского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 xml:space="preserve">муниципального округа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  <w:lang w:eastAsia="en-US"/>
        </w:rPr>
        <w:t>Ставропольского края                                                                     Л.В.Кириленко</w:t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Начальник правового отдела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администрации Петровского </w:t>
      </w:r>
    </w:p>
    <w:p>
      <w:pPr>
        <w:pStyle w:val="Normal"/>
        <w:spacing w:lineRule="exact" w:line="240" w:before="0" w:after="0"/>
        <w:jc w:val="both"/>
        <w:rPr/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муниципального округа 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Ставропольского края</w:t>
        <w:tab/>
        <w:tab/>
        <w:tab/>
        <w:tab/>
        <w:tab/>
        <w:t xml:space="preserve">                           О.А. Нехаенко</w:t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Style31"/>
        <w:spacing w:lineRule="exact" w:line="240"/>
        <w:ind w:firstLine="1418" w:left="-1418"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ind w:right="-2"/>
        <w:jc w:val="both"/>
        <w:rPr/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Начальник отдела по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организационно - кадровым вопросам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и профилактике коррупционных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правонарушений администрации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Петровского муниципального 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округа Ставропольского края</w:t>
        <w:tab/>
        <w:tab/>
        <w:tab/>
        <w:tab/>
        <w:tab/>
        <w:t xml:space="preserve">                 С.Н. Кулькина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ConsNonformat"/>
        <w:widowControl/>
        <w:spacing w:lineRule="exact" w:line="240"/>
        <w:ind w:left="-1418" w:right="1274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ConsNonformat"/>
        <w:widowControl/>
        <w:spacing w:lineRule="exact" w:line="240"/>
        <w:ind w:right="12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Управляющий делами администрации </w:t>
      </w:r>
    </w:p>
    <w:p>
      <w:pPr>
        <w:pStyle w:val="ConsNonformat"/>
        <w:widowControl/>
        <w:spacing w:lineRule="exact" w:line="240"/>
        <w:ind w:right="12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Петровского муниципального округа</w:t>
      </w:r>
    </w:p>
    <w:p>
      <w:pPr>
        <w:pStyle w:val="ConsNonformat"/>
        <w:widowControl/>
        <w:spacing w:lineRule="exact" w:line="24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Ставропольского края                                                                          Ю.В.Петрич</w:t>
      </w:r>
    </w:p>
    <w:p>
      <w:pPr>
        <w:pStyle w:val="Normal"/>
        <w:spacing w:lineRule="exact" w:line="240" w:before="0" w:after="0"/>
        <w:ind w:righ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ind w:right="-2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Проект постановления подготовлен управлением муниципального хозяйства администрации Петровского муниципального округа Ставропольского края</w:t>
      </w:r>
    </w:p>
    <w:p>
      <w:pPr>
        <w:pStyle w:val="Normal"/>
        <w:spacing w:lineRule="exact" w:line="240" w:before="0"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А.А.Брянцев</w:t>
      </w:r>
    </w:p>
    <w:tbl>
      <w:tblPr>
        <w:tblW w:w="951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4160"/>
      </w:tblGrid>
      <w:tr>
        <w:trPr>
          <w:trHeight w:val="283" w:hRule="atLeast"/>
        </w:trPr>
        <w:tc>
          <w:tcPr>
            <w:tcW w:w="5353" w:type="dxa"/>
            <w:tcBorders/>
          </w:tcPr>
          <w:p>
            <w:pPr>
              <w:pStyle w:val="Normal"/>
              <w:snapToGrid w:val="false"/>
              <w:spacing w:lineRule="exact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60" w:type="dxa"/>
            <w:tcBorders/>
          </w:tcPr>
          <w:p>
            <w:pPr>
              <w:pStyle w:val="Normal"/>
              <w:snapToGrid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Утверждена</w:t>
            </w:r>
          </w:p>
        </w:tc>
      </w:tr>
      <w:tr>
        <w:trPr>
          <w:trHeight w:val="969" w:hRule="atLeast"/>
        </w:trPr>
        <w:tc>
          <w:tcPr>
            <w:tcW w:w="5353" w:type="dxa"/>
            <w:tcBorders/>
          </w:tcPr>
          <w:p>
            <w:pPr>
              <w:pStyle w:val="Normal"/>
              <w:snapToGrid w:val="false"/>
              <w:spacing w:lineRule="exact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160" w:type="dxa"/>
            <w:tcBorders/>
          </w:tcPr>
          <w:p>
            <w:pPr>
              <w:pStyle w:val="Normal"/>
              <w:shd w:fill="FFFFFF" w:val="clear"/>
              <w:spacing w:lineRule="exact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постановлением администрации Петровского муниципального округа  Ставропольского края               от </w:t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МУНИЦИПАЛЬНАЯ ПРОГРАММА 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Петровского муниципального округа Ставропольского края </w:t>
      </w:r>
    </w:p>
    <w:p>
      <w:pPr>
        <w:pStyle w:val="Normal"/>
        <w:spacing w:lineRule="exact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«Формирование современной городской среды»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ПАСПОРТ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муниципальной программы Петровского муниципального округа </w:t>
      </w:r>
    </w:p>
    <w:p>
      <w:pPr>
        <w:pStyle w:val="Normal"/>
        <w:spacing w:lineRule="exact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570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7092"/>
      </w:tblGrid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Наименование  </w:t>
            </w:r>
          </w:p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Программы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муниципальная программа Петровского муниципального округа Ставропольского края «Формирование современной городской среды» (далее - Программа)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Управление муниципального хозяйства администрации Петровского муниципального округа Ставропольского края (далее – управление муниципального хозяйства)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Соисполнители Программы 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администрация Петровского муниципального округа Ставропольского края (далее – администрация);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- физические лица (по согласованию);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- юридические лица (по согласованию)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- «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Современная городская среда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ar-SA"/>
              </w:rPr>
              <w:t>»</w:t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</w:r>
          </w:p>
          <w:p>
            <w:pPr>
              <w:pStyle w:val="Style31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повышение качества и комфорта современной городской среды на территории Петровского муниципального округа Ставропольского края (далее – Петровский муниципальный округ)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Индикаторы достижения цели Программы </w:t>
            </w:r>
          </w:p>
        </w:tc>
        <w:tc>
          <w:tcPr>
            <w:tcW w:w="7092" w:type="dxa"/>
            <w:tcBorders/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округе;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объем привлеченных из федерального и краевого бюджетов субсидий и иных межбюджетных трансфертов на 1 рубль финансирования муниципальной программы за счет средств бюджета Петровского муниципального округа Ставропольского края на реализацию проектов по благоустройству дворовых и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Сроки реализации  Программы</w:t>
            </w:r>
          </w:p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2025 - 2030 годы</w:t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Объемы и источники финансового обеспечения Программы</w:t>
            </w:r>
          </w:p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7092" w:type="dxa"/>
            <w:tcBorders/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 финансового обеспечения Программы составит 25000,00 тыс. рублей, в том числе по источникам финансового обеспечения: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бюджет Ставропольского края (далее - краевой бюджет) – 0,00 тыс. рублей, в том числе по годам: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бюджет Петровского муниципального округа Ставропольского края (далее - бюджет округа) - 25000,00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– 25000,00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–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налоговые расходы бюджета округа – 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средства участников Программы - 0,00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478" w:type="dxa"/>
            <w:tcBorders/>
          </w:tcPr>
          <w:p>
            <w:pPr>
              <w:pStyle w:val="Style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Ожидаемые конечные результаты реализации  Программы</w:t>
            </w:r>
          </w:p>
        </w:tc>
        <w:tc>
          <w:tcPr>
            <w:tcW w:w="7092" w:type="dxa"/>
            <w:tcBorders/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 ежегодное обеспечение доли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 Ставропольского края на уровне не ниже 30 % </w:t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cs="Times New Roman" w:ascii="Times New Roman" w:hAnsi="Times New Roman"/>
          <w:sz w:val="27"/>
          <w:szCs w:val="27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Характеристика текущего состояния сферы благоустройства Петровского муниципального округа  Ставропольского края</w:t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Программа сформирована исходя из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целей социально-экономического развития Петровского муниципального округа и показателей их достижения в соответствии со </w:t>
      </w:r>
      <w:hyperlink r:id="rId2">
        <w:r>
          <w:rPr>
            <w:rStyle w:val="Hyperlink"/>
            <w:rFonts w:cs="Times New Roman" w:ascii="Times New Roman" w:hAnsi="Times New Roman"/>
            <w:color w:val="000000"/>
            <w:sz w:val="28"/>
            <w:szCs w:val="28"/>
            <w:u w:val="none"/>
          </w:rPr>
          <w:t>стратегией</w:t>
        </w:r>
      </w:hyperlink>
      <w:r>
        <w:rPr>
          <w:rFonts w:cs="Times New Roman" w:ascii="Times New Roman" w:hAnsi="Times New Roman"/>
          <w:color w:val="000000"/>
          <w:sz w:val="28"/>
          <w:szCs w:val="28"/>
        </w:rPr>
        <w:t xml:space="preserve"> социально-экономического развития Петровского муниципального округа Ставропольского края, прогнозами социально-экономического развития Петровского муниципального округа Ставропольского края на долгосрочный и среднесрочный периоды, основными направлениями стратегического развития Российской Федерации, основными направлениями социально-экономического развития Ставропольского края, нормативными правовыми актами Российской Федерации, Ставропольского края: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Федеральный закон от 06 октября 2006 года № 131-ФЗ «Об общих принципах организации местного самоуправления в Российской Федерации»;</w:t>
      </w:r>
    </w:p>
    <w:p>
      <w:pPr>
        <w:pStyle w:val="Normal"/>
        <w:autoSpaceDE w:val="false"/>
        <w:spacing w:lineRule="auto" w:line="240" w:before="0" w:after="0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</w:t>
      </w:r>
      <w:hyperlink r:id="rId3">
        <w:r>
          <w:rPr>
            <w:rStyle w:val="Hyperlink"/>
            <w:rFonts w:cs="Times New Roman" w:ascii="Times New Roman" w:hAnsi="Times New Roman"/>
            <w:color w:val="000000"/>
            <w:sz w:val="28"/>
            <w:szCs w:val="28"/>
            <w:u w:val="none"/>
          </w:rPr>
          <w:t xml:space="preserve">Постановление Правительства Российской Федерации от 10 февраля 2017 г. № 169 </w:t>
        </w:r>
      </w:hyperlink>
      <w:hyperlink r:id="rId4">
        <w:r>
          <w:rPr>
            <w:rStyle w:val="Hyperlink"/>
            <w:rFonts w:cs="Times New Roman" w:ascii="Times New Roman" w:hAnsi="Times New Roman"/>
            <w:sz w:val="28"/>
            <w:szCs w:val="28"/>
          </w:rPr>
          <w:t>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</w:r>
      </w:hyperlink>
      <w:r>
        <w:rPr>
          <w:rStyle w:val="WW--"/>
          <w:rFonts w:cs="Times New Roman" w:ascii="Times New Roman" w:hAnsi="Times New Roman"/>
          <w:color w:val="000000"/>
          <w:sz w:val="28"/>
          <w:szCs w:val="28"/>
          <w:u w:val="none"/>
        </w:rPr>
        <w:t>»</w:t>
      </w:r>
      <w:r>
        <w:rPr>
          <w:rStyle w:val="Dd-postheadericon"/>
          <w:rFonts w:cs="Times New Roman" w:ascii="Times New Roman" w:hAnsi="Times New Roman"/>
          <w:sz w:val="28"/>
          <w:szCs w:val="28"/>
        </w:rPr>
        <w:t>;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Постановление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Федерации»;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Постановление Правительства Ставропольского края от 13 июля 2017 г. № 279-п «Об утверждении Порядка проведения инвентаризации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размещения, расположенных на территории муниципальных образований Ставропольского края»;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Постановление Правительства Ставропольского края от 31 января 2019 г. № 37-п «О некоторых мерах по организации рейтингового голосования по формированию современной городской среды в Ставропольском крае»;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Приказ министерства строительства и</w:t>
      </w:r>
      <w:r>
        <w:rPr>
          <w:rFonts w:cs="Times New Roman" w:ascii="Times New Roman" w:hAnsi="Times New Roman"/>
          <w:i/>
          <w:sz w:val="28"/>
          <w:szCs w:val="28"/>
        </w:rPr>
        <w:t xml:space="preserve"> </w:t>
      </w:r>
      <w:r>
        <w:rPr>
          <w:rStyle w:val="Emphasis"/>
          <w:rFonts w:cs="Times New Roman" w:ascii="Times New Roman" w:hAnsi="Times New Roman"/>
          <w:i w:val="false"/>
          <w:sz w:val="28"/>
          <w:szCs w:val="28"/>
        </w:rPr>
        <w:t>жилищно-коммунального хозяйства Российской Федерации  от 18 марта 2019 г. № 162/пр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Уровень развития сферы благоустройства территорий Петровского муниципального округа (далее - сфера благоустройства) оказывает значительное влияние на условия жизни населения Петровского муниципального округа.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По состоянию на 01 января 2024 года на территории Петровского муниципального округа находилось 116 дворовых территорий, из которых благоустроено 7 (исходя из минимального перечня работ по благоустройству). Доля благоустроенных дворовых территорий в общем количестве дворовых территорий составляет 6,48 %. Из 64 общественных территорий, подлежащих благоустройству, благоустроены 57. Доля благоустроенных общественных территорий в общем количестве общественных территорий составляет 89,06 %. Площадь благоустроенных общественных территорий, приходящихся на 1 жителя Петровского муниципального округа составляет 0,07 кв.м. Количество площадок, специально оборудованных для отдыха, общения и проведения досуга разными группами населения, расположенных на дворовых территориях – 48 единиц. Доля населения, имеющего удобный пешеходный доступ к площадкам, специально оборудованным для отдыха, общения и проведения досуга, от общей численности населения Петровского муниципального округа составляет 18,22 процента.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 настоящее время на территории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Петровского муниципального округа </w:t>
      </w:r>
      <w:r>
        <w:rPr>
          <w:rFonts w:cs="Times New Roman" w:ascii="Times New Roman" w:hAnsi="Times New Roman"/>
          <w:sz w:val="28"/>
          <w:szCs w:val="28"/>
        </w:rPr>
        <w:t>имеется 1 объект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которые подлежат благоустройству не позднее 2030 года, за счет средств указанных лиц.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 состоянию на 01 января 2020 года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на территории Петровского муниципального округа были расположены </w:t>
      </w:r>
      <w:r>
        <w:rPr>
          <w:rFonts w:cs="Times New Roman" w:ascii="Times New Roman" w:hAnsi="Times New Roman"/>
          <w:sz w:val="28"/>
          <w:szCs w:val="28"/>
        </w:rPr>
        <w:t>26406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 индивидуальных жилых домов, в том числе проведена инвентаризация в отношении </w:t>
      </w:r>
      <w:r>
        <w:rPr>
          <w:rFonts w:cs="Times New Roman" w:ascii="Times New Roman" w:hAnsi="Times New Roman"/>
          <w:sz w:val="28"/>
          <w:szCs w:val="28"/>
        </w:rPr>
        <w:t>26406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 индивидуальных жилых домов, из которых </w:t>
      </w:r>
      <w:r>
        <w:rPr>
          <w:rFonts w:cs="Times New Roman" w:ascii="Times New Roman" w:hAnsi="Times New Roman"/>
          <w:sz w:val="28"/>
          <w:szCs w:val="28"/>
        </w:rPr>
        <w:t>11287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 ед. признаны соответствующими Правилам благоустройства, </w:t>
      </w:r>
      <w:r>
        <w:rPr>
          <w:rFonts w:cs="Times New Roman" w:ascii="Times New Roman" w:hAnsi="Times New Roman"/>
          <w:sz w:val="28"/>
          <w:szCs w:val="28"/>
        </w:rPr>
        <w:t xml:space="preserve">15119 </w:t>
      </w:r>
      <w:r>
        <w:rPr>
          <w:rFonts w:eastAsia="Arial Unicode MS" w:cs="Times New Roman" w:ascii="Times New Roman" w:hAnsi="Times New Roman"/>
          <w:sz w:val="28"/>
          <w:szCs w:val="28"/>
        </w:rPr>
        <w:t>ед. признаны не соответствующими Правилам благоустройства. Между администрацией Петровского муниципального округа и 270 собственниками индивидуальных жилых домов были заключены соглашения о благоустройстве индивидуальных жилых домов за счет средств собственников. По состоянию на 01.01.2021 указанные жилые дома благоустроены.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Реализуемая муниципальная политика в сфере благоустройства направлена на создание условий для системного повышения качества и комфорта современной городской среды на территории Петровского муниципального округа путем реализации комплекса первоочередных мероприятий по формированию современной городской среды в Петровском муниципальном округе. Приоритетом реализуемой в Петровском муниципальном округе политики в сфере благоустройства, направленной на достижение указанной стратегической цели, является повышение комфортности условий проживания населения Петровского муниципального округа.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учетом вышеуказанного приоритета целью Программы является повышение качества и комфорта современной городской среды на территории Петровского муниципального округа.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Достижение цели Программы осуществляется путем решения задач и выполнения основных мероприятий </w:t>
      </w:r>
      <w:hyperlink w:anchor="P126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  <w:u w:val="none"/>
          </w:rPr>
          <w:t>подпрограммы</w:t>
        </w:r>
      </w:hyperlink>
      <w:r>
        <w:rPr>
          <w:rStyle w:val="WW--"/>
          <w:rFonts w:cs="Times New Roman" w:ascii="Times New Roman" w:hAnsi="Times New Roman"/>
          <w:color w:val="030303"/>
          <w:sz w:val="28"/>
          <w:szCs w:val="28"/>
          <w:u w:val="none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«Современная городская среда» Программы (приведена в приложении 6 к Программе) (далее – подпрограмма).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Выполнение мероприятий подпрограммы Программы позволит увеличить в Петровском муниципальном округе количество благоустроенных дворовых территорий и благоустроенных общественных территорий, а также повысить общий уровень благоустройства территории Петровского муниципального округа.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случае нереализации Программы и недостижения показателей (индикаторов) Программы могут возникнуть такие последствия, как: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снижение уровня благоустройства территории Петровского муниципального округа, ухудшение состояния объектов благоустройства на территории Петровского муниципального округа.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Следует выделить основные риски, которые могут существенно повлиять на реализацию Программы и достижение ее основных показателей (индикаторов):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финансовые риски, в том числе сокращение лимитов финансирования Программы. При наступлении подобных неблагоприятных факторов, исходя из новых бюджетных параметров, мероприятия Программы будут пересмотрены с точки зрения их сокращения или снижения ожидаемых эффектов от их реализации;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правовые риски, связанные с возможными изменениями действующего законодательства. Снижение вероятности и минимизация последствий наступления указанных рисков достигается путем проведения регулярного мониторинга изменений действующего законодательства и, при необходимости, корректировки Программы;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организационные риски, возникающие при несогласованности действий ответственного исполнителя, соисполнителей и участников Программы, которые могут повлечь за собой невыполнение целей и задач Программы, снижение эффективности использования ресурсов и качества выполнения мероприятий Программы. Снижение вероятности и минимизация последствий наступления указанных рисков осуществляется при помощи организации должной координации и взаимодействия между ответственным исполнителем, соисполнителями и участниками Программы.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Применение комплексного подхода, а также активное привлечение населения к общественным обсуждениям и утверждению проектов по комплексному благоустройству дворовых и общественных территорий позволит: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повысить уровень планирования и реализации мероприятий по благоустройству (сделает дворовые и общественные территории современными, эффективными, оптимальными, открытыми, востребованными участниками Программы);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запустить реализацию механизма поддержки мероприятий по благоустройству дворовых и общественных территорий, инициированных участниками Программы;</w:t>
      </w:r>
    </w:p>
    <w:p>
      <w:pPr>
        <w:pStyle w:val="ConsPlusCell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запустить механизм трудового участия участников Программы в реализации мероприятий по благоустройству дворовых и общественных территорий.</w:t>
      </w:r>
    </w:p>
    <w:p>
      <w:pPr>
        <w:pStyle w:val="ConsPlusCell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Кроме того, реализация мероприятий Программы позволит создать наиболее благоприятные и комфортные условия жизнедеятельности населения, а также условия для системного повышения качества и комфорта городской среды на всей территории Петровского муниципального округа.</w:t>
      </w:r>
    </w:p>
    <w:p>
      <w:pPr>
        <w:pStyle w:val="Style31"/>
        <w:ind w:firstLine="708" w:right="0"/>
        <w:jc w:val="both"/>
        <w:rPr/>
      </w:pPr>
      <w:hyperlink w:anchor="P430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  <w:u w:val="none"/>
          </w:rPr>
          <w:t>Сведения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об</w:t>
      </w:r>
      <w:r>
        <w:rPr>
          <w:rFonts w:cs="Times New Roman" w:ascii="Times New Roman" w:hAnsi="Times New Roman"/>
          <w:sz w:val="28"/>
          <w:szCs w:val="28"/>
        </w:rPr>
        <w:t xml:space="preserve"> индикаторах достижения цели Программы и показателях решения задач подпрограммы Программы и их значениях приведены в приложении 1 к Программе.</w:t>
      </w:r>
    </w:p>
    <w:p>
      <w:pPr>
        <w:pStyle w:val="Style31"/>
        <w:ind w:firstLine="708" w:right="0"/>
        <w:jc w:val="both"/>
        <w:rPr/>
      </w:pPr>
      <w:hyperlink w:anchor="P536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  <w:u w:val="none"/>
          </w:rPr>
          <w:t>Перечень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ос</w:t>
      </w:r>
      <w:r>
        <w:rPr>
          <w:rFonts w:cs="Times New Roman" w:ascii="Times New Roman" w:hAnsi="Times New Roman"/>
          <w:sz w:val="28"/>
          <w:szCs w:val="28"/>
        </w:rPr>
        <w:t>новных мероприятий подпрограммы Программы приведен в приложении 2 к Программе.</w:t>
      </w:r>
    </w:p>
    <w:p>
      <w:pPr>
        <w:pStyle w:val="Style31"/>
        <w:ind w:firstLine="708" w:right="0"/>
        <w:jc w:val="both"/>
        <w:rPr/>
      </w:pPr>
      <w:hyperlink w:anchor="P615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  <w:u w:val="none"/>
          </w:rPr>
          <w:t>Объемы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и</w:t>
      </w:r>
      <w:r>
        <w:rPr>
          <w:rFonts w:cs="Times New Roman" w:ascii="Times New Roman" w:hAnsi="Times New Roman"/>
          <w:sz w:val="28"/>
          <w:szCs w:val="28"/>
        </w:rPr>
        <w:t xml:space="preserve"> источники финансового обеспечения Программы приведены в приложении 3 к Программе.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Сведения о весовых коэффициентах, присвоенных целям Программы, задачам подпрограммы Программы приведены в приложении 4.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</w:rPr>
        <w:tab/>
        <w:t>План реализации Программы приведен в приложении 5 к Программе.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Работы по благоустройству дворовых территорий в Петровском муниципальном округе могут выполняться в соответствии с минимальным и (или) дополнительным перечнем видов таких работ.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Минимальный перечень видов работ по благоустройству дворовых территорий включает в себя работы по обеспечению освещения дворовых территорий, ремонту дворовых проездов, установке скамеек и урн.</w:t>
      </w:r>
    </w:p>
    <w:p>
      <w:pPr>
        <w:pStyle w:val="Style31"/>
        <w:ind w:firstLine="708" w:right="0"/>
        <w:jc w:val="both"/>
        <w:rPr/>
      </w:pPr>
      <w:bookmarkStart w:id="0" w:name="P2343"/>
      <w:bookmarkEnd w:id="0"/>
      <w:r>
        <w:rPr>
          <w:rFonts w:cs="Times New Roman" w:ascii="Times New Roman" w:hAnsi="Times New Roman"/>
          <w:sz w:val="28"/>
          <w:szCs w:val="28"/>
        </w:rPr>
        <w:t>Дополнительный перечень видов работ по благоустройству дворовых территорий в Петровском муниципальном округе включает в себя работы по оборудованию детских и (или) спортивных площадок, автомобильных парковок, озеленению дворовых территорий, установке малых архитектурных форм (далее - дополнительный перечень видов работ по благоустройству дворовых территорий).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Софинансирование за счет субсидии работ, предусмотренных минимальным перечнем видов работ по благоустройству дворовых территорий и дополнительным перечнем видов работ по благоустройству дворовых территорий,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Софинансирование за счет субсидии работ, предусмотренных минимальным перечнем видов работ по благоустройству дворовых территорий, осуществляется при наличии решения собственников помещений в многоквартирном доме о трудовом участии собственников помещений многоквартирных домов, собственников иных зданий и сооружений, расположенных в границах дворовой территории, подлежащей благоустройству (далее – заинтересованные лица) в реализации мероприятий по благоустройству дворовой территории в форме однодневного субботника, оформляемого соответствующим актом администрации.</w:t>
      </w:r>
    </w:p>
    <w:p>
      <w:pPr>
        <w:pStyle w:val="ConsPlusNormal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Обязанность по подтверждению факта проведения однодневного субботника по уборке дворовой территории в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Петровском муниципальном округе </w:t>
      </w:r>
      <w:r>
        <w:rPr>
          <w:rFonts w:cs="Times New Roman" w:ascii="Times New Roman" w:hAnsi="Times New Roman"/>
          <w:sz w:val="28"/>
          <w:szCs w:val="28"/>
        </w:rPr>
        <w:t>возлагается на администрацию.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случае предоставления субсидии из федерального бюджета в рамках федерального проекта «Формирование комфортной городской среды» национального проекта «Жилье и городская среда», софинансирование за счет субсидии работ, предусмотренных дополнительным перечнем видов работ по благоустройству дворовых территорий, осуществляется при наличии решения собственников помещений в многоквартирном доме о софинансировании заинтересованными лицами в размере не менее 20 процентов стоимости выполнения таких работ. Такое условие распространяется на дворовые территории, включенные в муниципальные программы после вступления в силу постановления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Очередность благоустройства определяется в порядке поступления предложений заинтересованных лиц об их участии в выполнении указанных работ. 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Правительства Ставропольского края от 13 июля 2017 г. № 279-п «Об утверждении Порядка проведения инвентаризации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размещения, расположенных на территории муниципальных образований Ставропольского края».</w:t>
      </w:r>
    </w:p>
    <w:p>
      <w:pPr>
        <w:pStyle w:val="ConsPlusNormal"/>
        <w:ind w:firstLine="709" w:right="0"/>
        <w:jc w:val="both"/>
        <w:rPr>
          <w:rFonts w:ascii="Times New Roman" w:hAnsi="Times New Roman" w:eastAsia="Arial Unicode MS" w:cs="Times New Roman"/>
          <w:sz w:val="28"/>
          <w:szCs w:val="28"/>
        </w:rPr>
      </w:pPr>
      <w:r>
        <w:rPr>
          <w:rFonts w:eastAsia="Arial Unicode MS" w:cs="Times New Roman" w:ascii="Times New Roman" w:hAnsi="Times New Roman"/>
          <w:sz w:val="28"/>
          <w:szCs w:val="28"/>
        </w:rPr>
        <w:t>При выполнении работ по благоустройству дворовых территорий с использованием средств субсидии, администрацией обеспечивается реализация мероприятий по проведению работ по образованию земельных участков, на которых расположены многоквартирные дома, входящие в благоустраиваемую дворовую территорию.</w:t>
      </w:r>
    </w:p>
    <w:p>
      <w:pPr>
        <w:pStyle w:val="Style31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Администрацией из адресного перечня дворовых и общественных территорий, подлежащих благоустройству в рамках реализации Программы, могут быть исключены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муниципального округа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по формированию современной городской среды  в Ставропольском крае, образованной постановлением Губернатора Ставропольского края от 06 февраля 2017 года № 64 (далее – межведомственная комиссия) в порядке, установленном такой комиссией.</w:t>
      </w:r>
    </w:p>
    <w:p>
      <w:pPr>
        <w:pStyle w:val="Style31"/>
        <w:ind w:firstLine="708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Администрацией из адресного перечня дворовых территорий, подлежащих благоустройству в рамках реализации Программы, могут быть исключены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администрации, межведомственной комиссией в порядке, установленном такой комиссией.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Предельная дата заключение контракта по результатам закупки товаров, работ, услуг не позднее 01 апреля года предоставления субсидии, за исключением случаев: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такого контракта продлевается на срок указанного обжалования;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такого контракта продлевается на срок проведения конкурсных процедур;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заключения такого контракта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такого контракта продлевается на срок до 15 декабря года предоставления субсидии;</w:t>
      </w:r>
    </w:p>
    <w:p>
      <w:pPr>
        <w:pStyle w:val="Normal"/>
        <w:autoSpaceDE w:val="false"/>
        <w:spacing w:lineRule="auto" w:line="240" w:before="0" w:after="0"/>
        <w:ind w:firstLine="540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предоставления субсидии муниципальному образованию края на реализацию мероприятий по благоустройству общественной территории в соответствии с </w:t>
      </w:r>
      <w:hyperlink r:id="rId5">
        <w:r>
          <w:rPr>
            <w:rStyle w:val="Hyperlink"/>
            <w:rFonts w:cs="Times New Roman" w:ascii="Times New Roman" w:hAnsi="Times New Roman"/>
            <w:color w:val="0000FF"/>
            <w:sz w:val="28"/>
            <w:szCs w:val="28"/>
          </w:rPr>
          <w:t>подпунктом «3» пункта 6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Правил предоставления и распределения субсидий бюджетам муниципальных образований Ставропольского края на реализацию программ формирования современной городской среды, утвержденных постановлением Правительства Ставропольского края от 30.12.2023 № 841-п (далее – Правила), при которых срок заключения муниципального контракта устанавливается до установленного приказом министерства дорожного хозяйства и транспорта Ставропольского края срока представления органами местного самоуправления муниципальных образований края документов, предусмотренных </w:t>
      </w:r>
      <w:hyperlink r:id="rId6">
        <w:r>
          <w:rPr>
            <w:rStyle w:val="Hyperlink"/>
            <w:rFonts w:cs="Times New Roman" w:ascii="Times New Roman" w:hAnsi="Times New Roman"/>
            <w:color w:val="0000FF"/>
            <w:sz w:val="28"/>
            <w:szCs w:val="28"/>
          </w:rPr>
          <w:t>пунктами 12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и </w:t>
      </w:r>
      <w:hyperlink r:id="rId7">
        <w:r>
          <w:rPr>
            <w:rStyle w:val="Hyperlink"/>
            <w:rFonts w:cs="Times New Roman" w:ascii="Times New Roman" w:hAnsi="Times New Roman"/>
            <w:color w:val="0000FF"/>
            <w:sz w:val="28"/>
            <w:szCs w:val="28"/>
          </w:rPr>
          <w:t>15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Правил.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выполнении работ по благоустройству общественных и дворовых территорий с использованием средств субсидии, администрация устанавливает минимальный трёхлетний гарантийный срок на результаты выполненных работ по благоустройству общественных и дворовых территорий, софинансируемых за счет средств субсидии.</w:t>
      </w:r>
    </w:p>
    <w:p>
      <w:pPr>
        <w:pStyle w:val="ConsPlusNormal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и (или) дворовых территорий с использованием средств субсидии, администрация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 обеспечивает </w:t>
      </w:r>
      <w:r>
        <w:rPr>
          <w:rFonts w:cs="Times New Roman" w:ascii="Times New Roman" w:hAnsi="Times New Roman"/>
          <w:sz w:val="28"/>
          <w:szCs w:val="28"/>
        </w:rPr>
        <w:t xml:space="preserve">синхронизацию мероприятий в рамках Программы с реализуемыми в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Петровском муниципальном округе </w:t>
      </w:r>
      <w:r>
        <w:rPr>
          <w:rFonts w:cs="Times New Roman" w:ascii="Times New Roman" w:hAnsi="Times New Roman"/>
          <w:sz w:val="28"/>
          <w:szCs w:val="28"/>
        </w:rPr>
        <w:t xml:space="preserve">мероприятиями в сфере обеспечения доступности городской среды для маломобильных групп населения, цифровизации муниципального хозяйства, а также мероприятиями в рамках национальных проектов «Демография», «Образование», «Экология», «Безопасные качественные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программ, утверждаемыми Министерством строительства и жилищно-коммунального хозяйства Российской Федерации, а также с реализуемыми в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Петровском муниципальном округе </w:t>
      </w:r>
      <w:r>
        <w:rPr>
          <w:rFonts w:cs="Times New Roman" w:ascii="Times New Roman" w:hAnsi="Times New Roman"/>
          <w:sz w:val="28"/>
          <w:szCs w:val="28"/>
        </w:rPr>
        <w:t>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территории Петровского муниципального округа.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 выполнении работ по благоустройству общественных территорий и (или) дворовых территорий с использованием средств субсидии, администрация проводит мероприятия по благоустройству общественных территорий и (или) дворовых территорий с учетом необходимости обеспечения физической, пространственной и информационной доступности зданий, сооружений указанных территорий для инвалидов и других маломобильных групп населения.</w:t>
      </w:r>
    </w:p>
    <w:p>
      <w:pPr>
        <w:pStyle w:val="ConsPlusNormal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достижения цели национального проекта «Жилье и городская среда» по созданию механизма прямого участия граждан в формировании комфортной городской среды, по увеличению доли граждан, принимающих участие в решении вопросов развития городской среды, до 30 процентов, проводятся мероприятия по вовлечению граждан в реализацию мероприятий по благоустройству общественных территорий, а также дворовых территорий.</w:t>
      </w:r>
    </w:p>
    <w:p>
      <w:pPr>
        <w:pStyle w:val="Normal"/>
        <w:autoSpaceDE w:val="false"/>
        <w:spacing w:lineRule="auto" w:line="240" w:before="0" w:after="0"/>
        <w:ind w:firstLine="708" w:righ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Срок проведения общественного обсуждения проектов изменений в Программу должен составлять не менее 30 календарных дней со дня размещения на официальном сайте администрации Петровского муниципального округа Ставропольского края в информационно-телекоммуникационной сети «Интернет» проектов изменений в Программу.</w:t>
      </w:r>
    </w:p>
    <w:p>
      <w:pPr>
        <w:pStyle w:val="ConsPlusNormal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Помимо этого, администрацией </w:t>
      </w:r>
      <w:r>
        <w:rPr>
          <w:rFonts w:eastAsia="Arial Unicode MS" w:cs="Times New Roman" w:ascii="Times New Roman" w:hAnsi="Times New Roman"/>
          <w:sz w:val="28"/>
          <w:szCs w:val="28"/>
        </w:rPr>
        <w:t xml:space="preserve">и общественной комиссией обеспечивается </w:t>
      </w:r>
      <w:r>
        <w:rPr>
          <w:rFonts w:cs="Times New Roman" w:ascii="Times New Roman" w:hAnsi="Times New Roman"/>
          <w:sz w:val="28"/>
          <w:szCs w:val="28"/>
        </w:rPr>
        <w:t>актуализация Программы по результатам проведения рейтингового голосования по выбору общественных территорий (далее – голосование). Голосование проводится в соответствии с Порядком проведения рейтингового голосования по выбору объектов благоустройства общественных территорий муниципальных образований Ставропольского края, подлежащих благоустройству в первоочередном порядке в соответствии с муниципальными программами муниципальных образований Ставропольского края, предусматривающими мероприятия по формированию современной городской среды в Ставропольском крае, утвержденным постановлением Правительства Ставропольского края от 31 января 2019 г. № 37-п «О некоторых мерах по организации рейтингового голосования по формированию современной городской среды в Ставропольском крае».</w:t>
      </w:r>
    </w:p>
    <w:p>
      <w:pPr>
        <w:pStyle w:val="Style31"/>
        <w:ind w:firstLine="708" w:right="0"/>
        <w:jc w:val="both"/>
        <w:rPr>
          <w:sz w:val="27"/>
          <w:szCs w:val="27"/>
        </w:rPr>
      </w:pPr>
      <w:r>
        <w:rPr>
          <w:sz w:val="27"/>
          <w:szCs w:val="27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Управляющий делами администрации</w:t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Петровского муниципального округа </w:t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Ставропольского края                                                                         Ю.В. Петрич</w:t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sectPr>
          <w:type w:val="nextPage"/>
          <w:pgSz w:w="11906" w:h="16838"/>
          <w:pgMar w:left="1985" w:right="567" w:gutter="0" w:header="0" w:top="1418" w:footer="0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shd w:fill="FFFFFF" w:val="clear"/>
        <w:spacing w:lineRule="exact" w:line="240" w:before="5" w:after="0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9781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1</w:t>
      </w:r>
    </w:p>
    <w:p>
      <w:pPr>
        <w:pStyle w:val="ConsPlusNormal"/>
        <w:ind w:left="9781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297"/>
      <w:bookmarkEnd w:id="1"/>
      <w:r>
        <w:rPr>
          <w:rFonts w:cs="Times New Roman" w:ascii="Times New Roman" w:hAnsi="Times New Roman"/>
          <w:sz w:val="28"/>
          <w:szCs w:val="28"/>
        </w:rPr>
        <w:t>СВЕДЕНИЯ</w:t>
      </w:r>
    </w:p>
    <w:p>
      <w:pPr>
        <w:pStyle w:val="Style31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об индикаторах достижения цели Программы и показателях решения задач подпрограммы Программы и их значениях</w:t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5025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5086"/>
        <w:gridCol w:w="1984"/>
        <w:gridCol w:w="852"/>
        <w:gridCol w:w="8"/>
        <w:gridCol w:w="6"/>
        <w:gridCol w:w="1122"/>
        <w:gridCol w:w="6"/>
        <w:gridCol w:w="6"/>
        <w:gridCol w:w="845"/>
        <w:gridCol w:w="6"/>
        <w:gridCol w:w="850"/>
        <w:gridCol w:w="995"/>
        <w:gridCol w:w="850"/>
        <w:gridCol w:w="992"/>
        <w:gridCol w:w="850"/>
      </w:tblGrid>
      <w:tr>
        <w:trPr/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№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п/п</w:t>
            </w:r>
          </w:p>
        </w:tc>
        <w:tc>
          <w:tcPr>
            <w:tcW w:w="5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Наименование индикатора достижения цели Программы и показателя решения задачи подпрограммы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Единица измерения</w:t>
            </w:r>
          </w:p>
        </w:tc>
        <w:tc>
          <w:tcPr>
            <w:tcW w:w="738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Значение индикатора достижения цели Программы и показателя решения задачи подпрограммы Программы по годам</w:t>
            </w:r>
          </w:p>
        </w:tc>
      </w:tr>
      <w:tr>
        <w:trPr/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eastAsia="Calibri" w:cs="Times New Roman" w:ascii="Times New Roman" w:hAnsi="Times New Roman"/>
                <w:lang w:eastAsia="en-US"/>
              </w:rPr>
            </w:r>
          </w:p>
        </w:tc>
        <w:tc>
          <w:tcPr>
            <w:tcW w:w="5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2023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2024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2025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2030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11</w:t>
            </w:r>
          </w:p>
        </w:tc>
      </w:tr>
      <w:tr>
        <w:trPr/>
        <w:tc>
          <w:tcPr>
            <w:tcW w:w="1502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Цель Программы. Повышение качества и комфорта современной городской среды на территории Петровского муниципального округа 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 Ставропольского края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процентов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30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</w:rPr>
              <w:t>2.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</w:rPr>
              <w:t>Объем привлеченных из федерального и краевого бюджетов субсидий и иных межбюджетных трансфертов на 1 рубль финансирования муниципальной Программы за счет средств бюджета округа на реализацию проектов по благоустройству дворовых и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рублей на рубль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999,00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999,00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</w:tr>
      <w:tr>
        <w:trPr/>
        <w:tc>
          <w:tcPr>
            <w:tcW w:w="1502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Подпрограмма 1. «Современная городская среда»</w:t>
            </w:r>
          </w:p>
        </w:tc>
      </w:tr>
      <w:tr>
        <w:trPr/>
        <w:tc>
          <w:tcPr>
            <w:tcW w:w="1502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Задача 1 «Формирование единого облика Петровского муниципального округа»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</w:rPr>
              <w:t>3.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благоустроенных общественных территорий от общего количества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процентов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89,09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95,31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98,44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</w:rPr>
              <w:t>4.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благоустроенных дворовых территорий от общего количества дворовых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процентов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8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6,48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15,74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100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</w:rPr>
              <w:t>5.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 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ед.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6.</w:t>
            </w:r>
          </w:p>
        </w:tc>
        <w:tc>
          <w:tcPr>
            <w:tcW w:w="5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Количество разработанных дизайн-проектов благоустройства общественных и дворовых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ед.</w:t>
            </w:r>
          </w:p>
        </w:tc>
        <w:tc>
          <w:tcPr>
            <w:tcW w:w="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2</w:t>
      </w:r>
    </w:p>
    <w:p>
      <w:pPr>
        <w:pStyle w:val="ConsPlusNormal"/>
        <w:spacing w:lineRule="exact" w:line="240"/>
        <w:ind w:left="9356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403"/>
      <w:bookmarkEnd w:id="2"/>
      <w:r>
        <w:rPr>
          <w:rFonts w:cs="Times New Roman" w:ascii="Times New Roman" w:hAnsi="Times New Roman"/>
          <w:sz w:val="28"/>
          <w:szCs w:val="28"/>
        </w:rPr>
        <w:t>ПЕРЕЧЕНЬ</w:t>
      </w:r>
    </w:p>
    <w:p>
      <w:pPr>
        <w:pStyle w:val="ConsPlusNormal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основных мероприятий подпрограммы Программы </w:t>
      </w:r>
    </w:p>
    <w:p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4393" w:type="dxa"/>
        <w:jc w:val="center"/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3"/>
        <w:gridCol w:w="2337"/>
        <w:gridCol w:w="2591"/>
        <w:gridCol w:w="2388"/>
        <w:gridCol w:w="1513"/>
        <w:gridCol w:w="1600"/>
        <w:gridCol w:w="3401"/>
      </w:tblGrid>
      <w:tr>
        <w:trPr/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№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подпрограммы Программы, основного мероприятия подпрограммы Программы</w:t>
            </w:r>
          </w:p>
        </w:tc>
        <w:tc>
          <w:tcPr>
            <w:tcW w:w="2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Тип основного мероприятия </w:t>
            </w:r>
            <w:hyperlink w:anchor="P515">
              <w:r>
                <w:rPr>
                  <w:rStyle w:val="Hyperlink"/>
                  <w:rFonts w:cs="Times New Roman" w:ascii="Times New Roman" w:hAnsi="Times New Roman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2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Ответственный исполнитель (соисполнитель, участник) основного мероприятия подпрограммы Программы</w:t>
            </w:r>
          </w:p>
        </w:tc>
        <w:tc>
          <w:tcPr>
            <w:tcW w:w="3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Связь с индикаторами достижения целей Программы и показателями решения задач подпрограммы Программы</w:t>
            </w:r>
          </w:p>
        </w:tc>
      </w:tr>
      <w:tr>
        <w:trPr/>
        <w:tc>
          <w:tcPr>
            <w:tcW w:w="5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34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7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8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Цель 1. Повышение качества и комфорта современной городской среды на территории Петровского муниципального округа Ставропольского края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Подпрограмма 1. «Современная городская среда»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Петровском муниципальном округе;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</w:rPr>
              <w:t>Объем привлеченных из федерального и краевого бюджетов субсидий и иных межбюджетных трансфертов на 1 рубль финансирования муниципальной Программы за счет средств бюджета округа на реализацию проектов по благоустройству дворовых и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38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Задача 1 «Формирование единого облика Петровского муниципального округа Ставропольского края»</w:t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nformat"/>
              <w:widowControl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Организация проведения работ по благоустройству общественных территорий Петровского муниципального округа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управление муниципального хозяйства;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физические лица (по согласованию)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</w:rPr>
              <w:t>Количество разработанных дизайн-проектов благоустройства общественных территорий;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nformat"/>
              <w:widowControl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Организация проведения работ по благоустройству дворовых территорий Петровского муниципального округа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управление муниципального хозяйства;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физические лица (по согласованию)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благоустроенных дворовых территорий от общего количества дворовых территорий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обеспечение выполнения функций органами местного самоуправления округа, казенными учреждениями округа, подведомственными главным распорядителям средств бюджета округа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управление муниципального хозяйства;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физические лица (по согласованию)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Доля благоустроенных общественных территорий от общего количества общественных территорий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Вовлечение граждан и организаций в реализацию мероприятий по благоустройству дворовых территорий и общественных территорий в Петровском муниципальном округе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осуществление основных мероприятий участниками реализации Программы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управление муниципального хозяйства;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администрация;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физические лица (по согласованию);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юридические лица (по согласованию)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 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/>
        <w:ind w:left="9360" w:right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Приложение 3</w:t>
      </w:r>
    </w:p>
    <w:p>
      <w:pPr>
        <w:pStyle w:val="Normal"/>
        <w:spacing w:lineRule="exact" w:line="240"/>
        <w:ind w:left="9360" w:right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к муниципальной программе Петровского муниципального округа Ставропольского края «Формирование современной городской среды»</w:t>
      </w:r>
    </w:p>
    <w:p>
      <w:pPr>
        <w:pStyle w:val="Normal"/>
        <w:spacing w:lineRule="exact" w:line="240"/>
        <w:ind w:left="5387" w:righ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ConsPlusNormal"/>
        <w:spacing w:lineRule="exact" w:line="240"/>
        <w:jc w:val="center"/>
        <w:rPr/>
      </w:pPr>
      <w:r>
        <w:rPr/>
      </w:r>
    </w:p>
    <w:p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ОБЪЕМЫ И ИСТОЧНИКИ</w:t>
      </w:r>
    </w:p>
    <w:p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финансового обеспечения Программы </w:t>
      </w:r>
    </w:p>
    <w:p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4459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835"/>
        <w:gridCol w:w="2835"/>
        <w:gridCol w:w="993"/>
        <w:gridCol w:w="1417"/>
        <w:gridCol w:w="1418"/>
        <w:gridCol w:w="1417"/>
        <w:gridCol w:w="1418"/>
        <w:gridCol w:w="1559"/>
      </w:tblGrid>
      <w:tr>
        <w:trPr>
          <w:trHeight w:val="156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№</w:t>
            </w: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Наименование Программы, подпрограммы Программы, основного мероприятия подпрограммы Программы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Источники финансового обеспечения по ответственному исполнителю, соисполнителю программы, подпрограммы программы, основному мероприятию подпрограммы программы</w:t>
            </w:r>
          </w:p>
        </w:tc>
        <w:tc>
          <w:tcPr>
            <w:tcW w:w="82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Объемы финансового обеспечения по годам(тыс. рублей)</w:t>
            </w:r>
          </w:p>
        </w:tc>
      </w:tr>
      <w:tr>
        <w:trPr>
          <w:trHeight w:val="1139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2030</w:t>
            </w:r>
          </w:p>
        </w:tc>
      </w:tr>
      <w:tr>
        <w:trPr>
          <w:trHeight w:val="4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9</w:t>
            </w:r>
          </w:p>
        </w:tc>
      </w:tr>
      <w:tr>
        <w:trPr>
          <w:trHeight w:val="219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Программа «Формирование современной городской среды», всего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Петровского муниципального округа Ставропольского края (далее – бюджет округа),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Подпрограмма «Современная городская среда», всего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492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том числе следующие основные мероприятия: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2.1.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nformat"/>
              <w:widowControl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Организация проведения работ по благоустройству общественных территорий Петровского муниципального округа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Fonts w:cs="Times New Roman" w:ascii="Times New Roman" w:hAnsi="Times New Roman"/>
              </w:rPr>
              <w:t>2.2.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nformat"/>
              <w:widowControl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Организация проведения работ по благоустройству дворовых территорий Петровского муниципального округа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99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Fonts w:cs="Times New Roman" w:ascii="Times New Roman" w:hAnsi="Times New Roman"/>
              </w:rPr>
              <w:t>2.3.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192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Fonts w:cs="Times New Roman" w:ascii="Times New Roman" w:hAnsi="Times New Roman"/>
              </w:rPr>
              <w:t>2.4.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cs="Times New Roman" w:ascii="Times New Roman" w:hAnsi="Times New Roman"/>
              </w:rPr>
              <w:t>Вовлечение граждан и организаций в реализацию мероприятий по благоустройству дворовых территорий и общественных территорий в Петровском муниципальном округе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highlight w:val="green"/>
              </w:rPr>
            </w:pPr>
            <w:r>
              <w:rPr>
                <w:rFonts w:cs="Times New Roman" w:ascii="Times New Roman" w:hAnsi="Times New Roman"/>
                <w:highlight w:val="green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  <w:highlight w:val="green"/>
              </w:rPr>
            </w:pPr>
            <w:r>
              <w:rPr>
                <w:rFonts w:cs="Times New Roman" w:ascii="Times New Roman" w:hAnsi="Times New Roman"/>
                <w:b/>
                <w:highlight w:val="green"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бюджет округа, в т.ч.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7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краевого бюджета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7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5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7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бюджета округа,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7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т.ч. предусмотренные: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  <w:tr>
        <w:trPr>
          <w:trHeight w:val="556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управление муниципального хозяйства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  <w:tr>
        <w:trPr>
          <w:trHeight w:val="2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средства других источников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0,00</w:t>
            </w:r>
          </w:p>
        </w:tc>
      </w:tr>
    </w:tbl>
    <w:p>
      <w:pPr>
        <w:pStyle w:val="Normal"/>
        <w:spacing w:lineRule="exact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4</w:t>
      </w:r>
    </w:p>
    <w:p>
      <w:pPr>
        <w:pStyle w:val="ConsPlusNormal"/>
        <w:spacing w:lineRule="exact" w:line="240"/>
        <w:ind w:left="9356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Style3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3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31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СВЕДЕНИЯ</w:t>
      </w:r>
    </w:p>
    <w:p>
      <w:pPr>
        <w:pStyle w:val="Style31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 весовых коэффициентах, присвоенных целям Программы,</w:t>
      </w:r>
    </w:p>
    <w:p>
      <w:pPr>
        <w:pStyle w:val="Style31"/>
        <w:jc w:val="center"/>
        <w:rPr/>
      </w:pPr>
      <w:r>
        <w:rPr>
          <w:rFonts w:cs="Times New Roman" w:ascii="Times New Roman" w:hAnsi="Times New Roman"/>
        </w:rPr>
        <w:t>задачам подпрограммы Программы</w:t>
      </w:r>
    </w:p>
    <w:p>
      <w:pPr>
        <w:pStyle w:val="Style3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14890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00"/>
        <w:gridCol w:w="5070"/>
        <w:gridCol w:w="1134"/>
        <w:gridCol w:w="1134"/>
        <w:gridCol w:w="1560"/>
        <w:gridCol w:w="1417"/>
        <w:gridCol w:w="1701"/>
        <w:gridCol w:w="1669"/>
        <w:gridCol w:w="605"/>
      </w:tblGrid>
      <w:tr>
        <w:trPr>
          <w:trHeight w:val="381" w:hRule="atLeast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№</w:t>
            </w:r>
            <w:r>
              <w:rPr>
                <w:rStyle w:val="Apple-style-span"/>
                <w:rFonts w:eastAsia="Times New Roman" w:cs="Times New Roman" w:ascii="Times New Roman" w:hAnsi="Times New Roman"/>
                <w:sz w:val="20"/>
                <w:szCs w:val="20"/>
              </w:rPr>
              <w:t xml:space="preserve"> </w:t>
            </w: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Цели Программы и задачи подпрограмм Программы</w:t>
            </w:r>
          </w:p>
        </w:tc>
        <w:tc>
          <w:tcPr>
            <w:tcW w:w="86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Значения весовых коэффициентов, присвоенных целям</w:t>
            </w:r>
          </w:p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Программы и задачам подпрограмм Программы по годам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277" w:hRule="atLeast"/>
        </w:trPr>
        <w:tc>
          <w:tcPr>
            <w:tcW w:w="6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50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snapToGrid w:val="false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2029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Цель 1. «Повышение качества и комфорта современной городской среды на территории Петровского муниципального округа Ставропольского края»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385" w:hRule="atLeast"/>
        </w:trPr>
        <w:tc>
          <w:tcPr>
            <w:tcW w:w="142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  <w:t>Подпрограмма «Современная городская среда»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  <w:tr>
        <w:trPr/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rPr/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Задача 1 «Программы. Формирование единого облика Петровского муниципального округа Ставропольского края»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pple-style-span"/>
                <w:rFonts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5" w:type="dxa"/>
            <w:tcBorders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>
              <w:rPr/>
            </w:r>
          </w:p>
        </w:tc>
      </w:tr>
    </w:tbl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exact" w:line="240" w:before="0" w:after="0"/>
        <w:ind w:left="9356"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Приложение 5</w:t>
      </w:r>
    </w:p>
    <w:p>
      <w:pPr>
        <w:pStyle w:val="ConsPlusNormal"/>
        <w:spacing w:lineRule="exact" w:line="240"/>
        <w:ind w:left="9356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к муниципальной программе Петровского муниципального округа Ставропольского края </w:t>
      </w: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sz w:val="28"/>
          <w:szCs w:val="28"/>
        </w:rPr>
        <w:t>Формирование современной городской среды»</w:t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ПЛАН</w:t>
      </w:r>
    </w:p>
    <w:p>
      <w:pPr>
        <w:pStyle w:val="Normal"/>
        <w:widowControl w:val="false"/>
        <w:autoSpaceDE w:val="false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реализации Программы</w:t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1439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8"/>
        <w:gridCol w:w="1933"/>
        <w:gridCol w:w="1623"/>
        <w:gridCol w:w="1623"/>
        <w:gridCol w:w="1623"/>
        <w:gridCol w:w="1623"/>
        <w:gridCol w:w="1929"/>
        <w:gridCol w:w="2108"/>
      </w:tblGrid>
      <w:tr>
        <w:trPr>
          <w:trHeight w:val="900" w:hRule="atLeast"/>
        </w:trPr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Наименование контрольного события </w:t>
            </w:r>
            <w:hyperlink r:id="rId8">
              <w:r>
                <w:rPr>
                  <w:rStyle w:val="Hyperlink"/>
                  <w:rFonts w:cs="Times New Roman" w:ascii="Times New Roman" w:hAnsi="Times New Roman"/>
                  <w:color w:val="000000"/>
                  <w:sz w:val="24"/>
                  <w:szCs w:val="24"/>
                </w:rPr>
                <w:t>программы</w:t>
              </w:r>
            </w:hyperlink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Срок наступления контрольного события</w:t>
            </w:r>
          </w:p>
        </w:tc>
      </w:tr>
      <w:tr>
        <w:trPr>
          <w:trHeight w:val="513" w:hRule="atLeast"/>
        </w:trPr>
        <w:tc>
          <w:tcPr>
            <w:tcW w:w="19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2027 год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2028 год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2029 год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2030 год</w:t>
            </w:r>
          </w:p>
        </w:tc>
      </w:tr>
      <w:tr>
        <w:trPr>
          <w:trHeight w:val="328" w:hRule="atLeast"/>
        </w:trPr>
        <w:tc>
          <w:tcPr>
            <w:tcW w:w="143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Муниципальная программа Петровского муниципального округа Ставропольского края «Формирование современной городской среды»</w:t>
            </w:r>
          </w:p>
        </w:tc>
      </w:tr>
      <w:tr>
        <w:trPr>
          <w:trHeight w:val="365" w:hRule="atLeast"/>
        </w:trPr>
        <w:tc>
          <w:tcPr>
            <w:tcW w:w="143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Подпрограмма </w:t>
            </w: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«Современная городская среда»</w:t>
            </w:r>
          </w:p>
        </w:tc>
      </w:tr>
      <w:tr>
        <w:trPr>
          <w:trHeight w:val="2064" w:hRule="atLeast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Контрольное событие 1. Принятие и оплата выполненных работ по благоустройству дворовых территорий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управление муниципального хозяйства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</w:tr>
      <w:tr>
        <w:trPr>
          <w:trHeight w:val="1550" w:hRule="atLeast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Контрольное событие 2. Принятие и оплата выполненных работ по благоустройству общественных территорий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управление муниципального хозяйства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</w:tr>
      <w:tr>
        <w:trPr>
          <w:trHeight w:val="1550" w:hRule="atLeast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Контрольное событие 3. Принятие и оплата выполненных работ по реализации регионального проекта «Формирование комфортной городской среды»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ar-SA"/>
              </w:rPr>
              <w:t>управление муниципального хозяйства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 по мере выполнения работ</w:t>
            </w:r>
          </w:p>
        </w:tc>
      </w:tr>
    </w:tbl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sectPr>
          <w:type w:val="nextPage"/>
          <w:pgSz w:orient="landscape" w:w="16838" w:h="11906"/>
          <w:pgMar w:left="1134" w:right="1418" w:gutter="0" w:header="0" w:top="1985" w:footer="0" w:bottom="567"/>
          <w:pgNumType w:fmt="decimal"/>
          <w:formProt w:val="false"/>
          <w:textDirection w:val="lrTb"/>
          <w:docGrid w:type="default" w:linePitch="360" w:charSpace="0"/>
        </w:sectPr>
        <w:pStyle w:val="Normal"/>
        <w:widowControl w:val="false"/>
        <w:autoSpaceDE w:val="false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796" w:type="dxa"/>
        <w:jc w:val="left"/>
        <w:tblInd w:w="453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6"/>
      </w:tblGrid>
      <w:tr>
        <w:trPr>
          <w:trHeight w:val="2135" w:hRule="atLeast"/>
        </w:trPr>
        <w:tc>
          <w:tcPr>
            <w:tcW w:w="4796" w:type="dxa"/>
            <w:tcBorders/>
          </w:tcPr>
          <w:p>
            <w:pPr>
              <w:pStyle w:val="Style31"/>
              <w:widowControl w:val="false"/>
              <w:spacing w:lineRule="exact" w: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6</w:t>
            </w:r>
          </w:p>
          <w:p>
            <w:pPr>
              <w:pStyle w:val="Style31"/>
              <w:widowControl w:val="false"/>
              <w:spacing w:lineRule="exact" w:lin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 муниципальной программе Петровского муниципального округа Ставропольского края «Формирование современной городской среды»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Style31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Style31"/>
        <w:spacing w:lineRule="exact" w:line="2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ПОДПРОГРАММА</w:t>
      </w:r>
    </w:p>
    <w:p>
      <w:pPr>
        <w:pStyle w:val="Style31"/>
        <w:spacing w:lineRule="exact" w:line="240"/>
        <w:jc w:val="center"/>
        <w:rPr/>
      </w:pPr>
      <w:r>
        <w:rPr>
          <w:rFonts w:cs="Times New Roman" w:ascii="Times New Roman" w:hAnsi="Times New Roman"/>
          <w:bCs/>
          <w:sz w:val="28"/>
          <w:szCs w:val="28"/>
        </w:rPr>
        <w:t>«Современная городская среда»</w:t>
      </w:r>
      <w:r>
        <w:rPr>
          <w:rFonts w:cs="Times New Roman" w:ascii="Times New Roman" w:hAnsi="Times New Roman"/>
          <w:sz w:val="28"/>
          <w:szCs w:val="28"/>
        </w:rPr>
        <w:t xml:space="preserve"> муниципальной программы Петровского муниципального округа Ставропольского края «Формирование современной городской среды»</w:t>
      </w:r>
    </w:p>
    <w:p>
      <w:pPr>
        <w:pStyle w:val="Style3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Style31"/>
        <w:spacing w:lineRule="exact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ПАСПОРТ</w:t>
      </w:r>
    </w:p>
    <w:p>
      <w:pPr>
        <w:pStyle w:val="Style31"/>
        <w:spacing w:lineRule="exact" w:line="24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подпрограммы </w:t>
      </w:r>
      <w:r>
        <w:rPr>
          <w:rFonts w:cs="Times New Roman" w:ascii="Times New Roman" w:hAnsi="Times New Roman"/>
          <w:bCs/>
          <w:sz w:val="28"/>
          <w:szCs w:val="28"/>
        </w:rPr>
        <w:t>«Современная городская среда»</w:t>
      </w:r>
      <w:r>
        <w:rPr>
          <w:rFonts w:cs="Times New Roman" w:ascii="Times New Roman" w:hAnsi="Times New Roman"/>
          <w:sz w:val="28"/>
          <w:szCs w:val="28"/>
        </w:rPr>
        <w:t xml:space="preserve"> муниципальной программы Петровского муниципального округа Ставропольского края «Формирование современной городской среды»</w:t>
      </w:r>
    </w:p>
    <w:p>
      <w:pPr>
        <w:pStyle w:val="Style31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tbl>
      <w:tblPr>
        <w:tblW w:w="926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9"/>
        <w:gridCol w:w="4645"/>
      </w:tblGrid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Наименование подпрограммы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подпрограмма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«Современная городская среда»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муниципальной программы Петровского муниципального округа Ставропольского края «Формирование современной городской среды» (далее – подпрограмма)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Ответственный исполнитель подпрограммы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муниципального хозяйства</w:t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Соисполнители подпрограммы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администрация</w:t>
            </w:r>
          </w:p>
          <w:p>
            <w:pPr>
              <w:pStyle w:val="Style31"/>
              <w:widowControl w:val="fals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Участники подпрограммы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физические лица (по согласованию);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юридические лица (по согласованию)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Задачи подпрограммы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единого облика Петровского муниципального округа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1137" w:hRule="atLeast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Показатели решения задач подпрограммы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благоустроенных общественных территорий от общего количества общественных территорий;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благоустроенных дворовых территорий от общего количества дворовых территорий;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количество проведенных рейтинговых голосований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 количество разработанных дизайн-проектов благоустройства общественных территорий 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543" w:hRule="atLeast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Сроки реализации подпрограммы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2025 - 2030</w:t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Объемы и источники финансового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обеспечения подпрограммы</w:t>
              <w:tab/>
              <w:tab/>
              <w:tab/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объем финансового обеспечения Подпрограммы составит 25000,00 тыс. рублей, в том числе по источникам финансового обеспечения: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бюджет Ставропольского края (далее - краевой бюджет) – 0,00 тыс. рублей, в том числе по годам: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бюджет Петровского муниципального округа Ставропольского края (далее - бюджет округа) - 25000,00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– 25000,00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–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–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налоговые расходы бюджета округа – 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средства участников Программы - 0,00 тыс. рублей, в том числе по годам: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2025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2026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2027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2028 году - 0,00 тыс. рублей</w:t>
            </w:r>
          </w:p>
          <w:p>
            <w:pPr>
              <w:pStyle w:val="Style31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2029 году - 0,00 тыс. рублей</w:t>
            </w:r>
          </w:p>
          <w:p>
            <w:pPr>
              <w:pStyle w:val="Style31"/>
              <w:widowControl w:val="fals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2030 году - 0,00 тыс. рублей</w:t>
            </w:r>
          </w:p>
          <w:p>
            <w:pPr>
              <w:pStyle w:val="Style31"/>
              <w:widowControl w:val="fals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Ожидаемые конечные результаты</w:t>
            </w:r>
          </w:p>
          <w:p>
            <w:pPr>
              <w:pStyle w:val="Style31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реализации подпрограммы 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благоустроенных общественных территорий от общего количества общественных территорий, составит 100% к 2030 году;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доля благоустроенных дворовых территорий от общего количества дворовых территорий, составит 100,00% к 2030 году;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 ежегодное проведение не менее 1 рейтингового голосования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округа;</w:t>
            </w:r>
          </w:p>
          <w:p>
            <w:pPr>
              <w:pStyle w:val="Normal"/>
              <w:autoSpaceDE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 ежегодная разработка не менее 1 дизайн-проекта благоустройства общественных территорий </w:t>
            </w:r>
          </w:p>
        </w:tc>
      </w:tr>
    </w:tbl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Характеристика основных мероприятий подпрограммы</w:t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Подпрограмма включает в себя следующие мероприятия: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1) Организация проведения работ по благоустройству общественных территорий Петровского муниципального округа. 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мероприятия предполагает разработку сметной документации, дизайн-проектов, проведение работ по благоустройству общественных территорий, расположенных на территории Петровского муниципального округа.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Ответственным исполнителем данного мероприятия является управление муниципального хозяйства.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Соисполнителем данного основного мероприятия Подпрограммы является администрация.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Участниками данного мероприятия являются физические лица (по согласованию).</w:t>
      </w:r>
    </w:p>
    <w:p>
      <w:pPr>
        <w:pStyle w:val="Normal"/>
        <w:autoSpaceDE w:val="false"/>
        <w:spacing w:lineRule="auto" w:line="240" w:before="0" w:after="0"/>
        <w:ind w:firstLine="708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Непосредственным результатом реализации данного мероприятия станет ежегодная разработка не менее 1 дизайн-проекта благоустройства общественной территории.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Организация проведения работ по благоустройству дворовых территорий Петровского муниципального округа.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мероприятия предполагает проведение работ по благоустройству дворовых территорий (исходя из минимального перечня или дополнительного перечня работ по их благоустройству, расположенных на территории Петровского муниципального округа, а также проведение работ по образованию земельных участков, на которых расположены многоквартирные дома, в целях софинансирования работ по благоустройству которых бюджету Петровского муниципального округа предоставляется субсидия из бюджета Ставропольского края.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Ответственным исполнителем данного мероприятия является управление муниципального хозяйства.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реализации данного основного мероприятия Подпрограммы соисполнители не предусмотрены.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Участниками данного мероприятия являются физические лица (по согласованию).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Непосредственным результатом реализации данного мероприятия станет доля благоустроенных дворовых территорий от общего количества дворовых территорий, составит 100,00% к 2030 году.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Реализация регионального проекта «Формирование комфортной городской среды».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Реализация мероприятия предполагает проведение работ по благоустройству общественных территорий, расположенных на территории Петровского муниципального округа, в рамках регионального проекта «Формирование комфортной городской среды».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Ответственным исполнителем данного мероприятия является управление муниципального хозяйства.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реализации данного основного мероприятия Подпрограммы соисполнители не предусмотрены.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Участниками данного мероприятия являются физические лица (по согласованию).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Непосредственным результатом реализации данного мероприятия станет доля благоустроенных общественных территорий от общего количества общественных территорий, составит 100% к 2030 году.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4) Вовлечение граждан и организаций в реализацию мероприятий по благоустройству дворовых территорий и общественных территорий в Петровском муниципальном округе.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Реализация данного мероприятия предполагает организацию администрацией проведения однодневного субботника по уборке дворовых и общественных территорий, включенных в адресные перечни дворовых территорий и адресные перечни общественных территорий Петровского муниципального округа, а также организация и проведение рейтингового голосования по выбору объектов благоустройства общественных территорий, подлежащих благоустройству в первоочередном порядке.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Ответственным исполнителем данного мероприятия является управление муниципального хозяйства.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Соисполнителем данного основного мероприятия Подпрограммы является администрация.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Участниками данного мероприятия являются физические лица (по согласованию) и юридические лица (по согласованию).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Непосредственным результатом реализации данного мероприятия станет ежегодное проведение не менее 1 рейтингового голосования по выбору объектов благоустройства общественных территорий, подлежащих благоустройству в первоочередном порядке на территории Петровского муниципального округа.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Адресный перечень всех дворовых территорий многоквартирных домов, нуждающихся в благоустройстве и подлежащих благоустройству в указанный период исходя из минимального перечня работ по благоустройству приведен в Приложении 1 к Подпрограмме.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Адресный перечень всех общественных территорий, нуждающихся в благоустройстве и подлежащих благоустройству,  приведен в Приложении 2 к Подпрограмме. В рамках адресного перечня справочно указаны общественные территории, благоустройство которых выполняется в рамках иных государственных программ Ставропольского края и муниципальных программ </w:t>
      </w:r>
      <w:r>
        <w:rPr>
          <w:rFonts w:eastAsia="Arial Unicode MS" w:cs="Times New Roman" w:ascii="Times New Roman" w:hAnsi="Times New Roman"/>
          <w:sz w:val="28"/>
          <w:szCs w:val="28"/>
        </w:rPr>
        <w:t>Петровского муниципального округа.</w:t>
      </w:r>
    </w:p>
    <w:p>
      <w:pPr>
        <w:pStyle w:val="Style31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лиц, приведен в Приложении 3 к Подпрограмме.</w:t>
      </w:r>
    </w:p>
    <w:p>
      <w:pPr>
        <w:pStyle w:val="Style31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Визуализированный </w:t>
      </w:r>
      <w:hyperlink w:anchor="P744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</w:rPr>
          <w:t>перечень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образцов</w:t>
      </w:r>
      <w:r>
        <w:rPr>
          <w:rFonts w:cs="Times New Roman" w:ascii="Times New Roman" w:hAnsi="Times New Roman"/>
          <w:sz w:val="28"/>
          <w:szCs w:val="28"/>
        </w:rPr>
        <w:t xml:space="preserve"> элементов благоустройства, предлагаемых к размещению на дворовых территориях в 2025 - 2030 годах, сформированный исходя из минимального перечня видов работ по благоустройству дворовых территорий, приведен в Приложении 4 к Подпрограмме.</w:t>
      </w:r>
    </w:p>
    <w:p>
      <w:pPr>
        <w:pStyle w:val="Normal"/>
        <w:spacing w:lineRule="auto" w:line="240" w:before="0" w:after="0"/>
        <w:ind w:firstLine="709" w:right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Перечень общественных территорий, подлежащих в рамках реализации муниципальной программы Петровского муниципального округа Ставропольского края «Формирование современной городской среды» благоустройству в первоочередном порядке в 2025 году, приведен в Приложении 5 к Подпрограмме.</w:t>
      </w:r>
    </w:p>
    <w:p>
      <w:pPr>
        <w:pStyle w:val="Normal"/>
        <w:spacing w:lineRule="auto" w:line="240" w:before="0" w:after="0"/>
        <w:ind w:firstLine="709"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ind w:firstLine="709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536" w:type="dxa"/>
        <w:jc w:val="left"/>
        <w:tblInd w:w="48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6"/>
      </w:tblGrid>
      <w:tr>
        <w:trPr/>
        <w:tc>
          <w:tcPr>
            <w:tcW w:w="4536" w:type="dxa"/>
            <w:tcBorders/>
          </w:tcPr>
          <w:p>
            <w:pPr>
              <w:pStyle w:val="Style31"/>
              <w:widowControl w:val="false"/>
              <w:spacing w:lineRule="exact" w:line="240"/>
              <w:ind w:firstLine="709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1</w:t>
            </w:r>
          </w:p>
          <w:p>
            <w:pPr>
              <w:pStyle w:val="Style31"/>
              <w:widowControl w:val="false"/>
              <w:spacing w:lineRule="exact" w:line="240"/>
              <w:ind w:firstLine="709" w:right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</w:tc>
      </w:tr>
    </w:tbl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Адресный перечень всех дворовых территорий многоквартирных домов, нуждающихся в благоустройстве и подлежащих благоустройству в указанный период, исходя из минимального перечня работ</w:t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 благоустройству</w:t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6452"/>
        <w:gridCol w:w="2268"/>
      </w:tblGrid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Планируемый срок благоустройства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8, 9, 12, 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15, 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17, 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27 «а», 28, 29, 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34, 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37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39 «б»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15 «б»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15 «в»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15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Комсомольская, 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Фабричная,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Гагарина,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Бассейная, 82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Пушкина,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Пушкина,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Тургенева, 28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Красная, 44 «а»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58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Гагарина,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Гагарина,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Гагарина,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Железнодорожная,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3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13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Кирова, 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Трудовая,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Фабричная,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Фабричная,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Ярмарочная, 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13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Высотная, 13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Калинина,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Калинина, 8 «в»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179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181/1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181/2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181/3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Матросова, 181/8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21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22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31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49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50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Выставочная, 56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60 лет Октября,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Комсомольская, 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Комсомольская, 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Пушкина, 3 «а»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ул. Пушкина,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60 лет Октября,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г. Светлоград, пл. 60 лет Октября,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Шангала, ул. 60 лет Октября, 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Шангала, ул. 60 лет Октября, 32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Шангала, ул. 60 лет Октября, 34;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Шангала, ул. 60 лет Октября, 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Николина Балка, ул. Шоссейная,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Квартальная,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Квартальная,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Квартальная,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Первомайская, 89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Первомайская, 97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Первомайская, 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п. Рогатая Балка, ул. Привокзальная, 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Высоцкое, ул. Центральная, 74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6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Ставропольский край, Петровский район, с. Высоцкое, ул. Центральная, 76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</w:tbl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354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678"/>
        <w:gridCol w:w="4676"/>
      </w:tblGrid>
      <w:tr>
        <w:trPr/>
        <w:tc>
          <w:tcPr>
            <w:tcW w:w="4678" w:type="dxa"/>
            <w:tcBorders/>
          </w:tcPr>
          <w:p>
            <w:pPr>
              <w:pStyle w:val="Style35"/>
              <w:widowControl w:val="false"/>
              <w:snapToGrid w:val="false"/>
              <w:spacing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4676" w:type="dxa"/>
            <w:tcBorders/>
          </w:tcPr>
          <w:p>
            <w:pPr>
              <w:pStyle w:val="Style31"/>
              <w:widowControl w:val="false"/>
              <w:spacing w:lineRule="exact" w:line="25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Приложение 2</w:t>
            </w:r>
          </w:p>
        </w:tc>
      </w:tr>
      <w:tr>
        <w:trPr/>
        <w:tc>
          <w:tcPr>
            <w:tcW w:w="4678" w:type="dxa"/>
            <w:tcBorders/>
          </w:tcPr>
          <w:p>
            <w:pPr>
              <w:pStyle w:val="Style35"/>
              <w:widowControl w:val="false"/>
              <w:snapToGrid w:val="false"/>
              <w:spacing w:before="0"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tcW w:w="4676" w:type="dxa"/>
            <w:tcBorders/>
          </w:tcPr>
          <w:p>
            <w:pPr>
              <w:pStyle w:val="Style31"/>
              <w:widowControl w:val="false"/>
              <w:spacing w:lineRule="exact" w:line="240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color w:val="000000"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</w:tc>
      </w:tr>
    </w:tbl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Адресный перечень всех общественных территорий, нуждающихся в благоустройстве и подлежащих благоустройству</w:t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4368"/>
        <w:gridCol w:w="4394"/>
      </w:tblGrid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>Адрес (местоположение) и наименование общественной территории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Наименование государственной программы Ставропольского края, муниципальной программы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Петровского муниципального округа Ставропольского края</w:t>
            </w:r>
            <w:r>
              <w:rPr>
                <w:rFonts w:cs="Times New Roman" w:ascii="Times New Roman" w:hAnsi="Times New Roman"/>
                <w:spacing w:val="-2"/>
                <w:sz w:val="28"/>
                <w:szCs w:val="28"/>
              </w:rPr>
              <w:t xml:space="preserve"> за счет средств которой осуществлено/планируется благоустройство общественных территорий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2018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пешеходная зона ул. Ленина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Государственная программа Ставропольского края «Управление финансами» (далее – Управление финансами)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Николина Балка, комплексная спортивная площадка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аллеи на территории муниципального кладбища № 2 по проспекту Генерала Воробьева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площадь имени 60 лет Октября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Государственная программа Ставропольского края «Формирование современной городской среды» (далее – Формирование современной городской среды)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2019 год</w:t>
            </w:r>
          </w:p>
        </w:tc>
      </w:tr>
      <w:tr>
        <w:trPr>
          <w:trHeight w:val="808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территория гражданского кладбища в селе Гофицкое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1755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Донская Балка, прилегающая территория к зданию муниципального казенного учреждения культуры «Дом культуры села Донская Балка» и летняя концертная площадка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1513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Константиновское, территория, прилегающая к Памятнику воинам-односельчанам, погибшим в 1941-1945 гг., расположенному на площади Свободы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1351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Николина Балка, прилегающая территория к зданию муниципального казенного учреждения культуры «Дом культуры села Николина Балка»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778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аллеи муниципального кладбища № 2 в микрорайоне «Кисличее»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>
          <w:trHeight w:val="848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площадь 50 лет Октября (1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>
          <w:trHeight w:val="762" w:hRule="atLeast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площадь 50 лет Октября (2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Шведино, прилегающая территория муниципального казенного учреждения культуры «Дворец культуры села Шведино»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2020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Высоцкое, парковая зона по ул. Советская, 16А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территория гражданского кладбища (2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Донская Балка, общественная территория, прилегающая к площади мемориалов памятников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Константиновское, территория кладбища по ул. Садовая, б/н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Николина Балка, территория кладбища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Ореховка, сквер по ул. Красная, б/н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Просянка, территория, прилегающая к муниципальному казенному учреждению культуры «Дом Культуры с. Просянка»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площадь 50 лет Октября (3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аттракцион в сквере им. А.П. Гайдара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детский и спортивный комплексы в парке «Победа» по адресу: пл. 60 лет Октября, 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Сухая Буйвола, территория кладбища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Шведино, территория, прилегающая к «Обелиску воинам – односельчанам, участникам гражданской и Великой Отечественной войн»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фонтан на площади 50 лет Октября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Государственная программа Ставропольского края «Развитие жилищно-коммунального хозяйства, защита населения и территории от чрезвычайных ситуаций»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2021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пешеходная зона по ул. Ленина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пешеходная зона по ул. Тургенева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Благодатное, парк по ул. Советская, 22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Высоцкое, парковая зона по ул. Советской, 16А (второй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общественная территория, прилегающая к зданию муниципального казенного учреждения культуры «Дом культуры села Гофицкого»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Донская Балка, общественная территория стадиона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Константиновское, территория зоны отдыха, расположенной по адресу: ул. Ледовского, 2А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Николина Балка, сквер «Победа» по адресу: ул. Шоссейная, 13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Ореховка, прилегающая территория к зданию муниципального казенного учреждения культуры «Дом культуры села Ореховка»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Поселок Прикалаусский, центральная аллея в сквере по ул. Почтовой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Просянка, территория, прилегающая к памятнику «Воинам-односельчанам, погибшим в годы гражданской и Великой Отечественной войн»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Поселок Рогатая Балка, площадь муниципального казенного учреждения культуры «Дом культуры в поселке Рогатая Балка»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территория сквера прилегающего к территории Центрального рынка по адресу: ул. Комсомольская, 58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территория остановочных павильонов по ул. 60 лет Октября, ул. Садовая, ул. Бассейная, ул. Правды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Хутор Соленое Озеро, территория кладбища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Сухая Буйвола, тротуар по ул. Красная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Шведино, общественная территория по ул. Ленина, 39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2022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Благодатное, пешеходная зона по ул. Советская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Высоцкое, парковая зона по ул. Советская, 16а (3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детская площадка в центральном парке села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Ореховка, комплексная спортивная площадка по ул. Красная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Поселок Прикалаусский, пешеходные дорожки и освещение центральной аллеи в парковой зоне по ул. Почтовая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Просянка, детская игровая площадка и прилегающая к ней территория по ул. Мира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Поселок Рогатая Балка, зона отдыха на территории, прилегающей к муниципальному казенному учреждению культуры «Дом культуры в поселке Рогатая Балка»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городское кладбище № 1 на пересечении ул. Николаенко и ул. Шевченко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остановочные павильоны по ул. 9-е Января, ул. Николаенко, пер. Пионерский, ул. Шоссейная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тротуар по ул. Московская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Муниципальная программа Петровского городского округа Ставропольского края «</w:t>
            </w:r>
            <w:r>
              <w:rPr>
                <w:rFonts w:cs="Times New Roman" w:ascii="Times New Roman" w:hAnsi="Times New Roman"/>
                <w:color w:val="222222"/>
                <w:sz w:val="28"/>
                <w:szCs w:val="28"/>
                <w:shd w:fill="FFFFFF" w:val="clear"/>
              </w:rPr>
              <w:t>Развитие транспортной системы и обеспечение безопасности дорожного движения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»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Сухая Буйвола, детские игровые площадки по ул. Красная, 55, ул. Школьная, 46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Шангала, детская игровая площадка по ул. 60 лет Октября, 31а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2023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  <w:t>Село Высоцкое, парковая зона по ул. Советской, 16А (четвертый этап)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  <w:t>Село Константиновское, общественная территория  по ул. Ледовского, 2В</w:t>
            </w:r>
          </w:p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  <w:t>Город Светлоград, общественная территория около образовательного учреждения дополнительного профессионального образования «Светлоградская АШ ДОСААФ России» по ул. Калинина</w:t>
            </w:r>
          </w:p>
          <w:p>
            <w:pPr>
              <w:pStyle w:val="ConsTitle"/>
              <w:rPr>
                <w:rFonts w:ascii="Times New Roman" w:hAnsi="Times New Roman" w:cs="Times New Roman"/>
                <w:b w:val="false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2024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Благодатное, парк по ул. Советской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Формирование современной городской среды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сквер им. Ю.А. Гагарина по ул. Николаенко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Муниципальная программа Петровского городского округа Ставропольского края «Формирование современной городской среды»  (далее – современная городская среда)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Шангала, общественная территория «Сад Победы»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Шведино, площадка с уличными тренажерами по ул. Ленина, 39А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финансами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2025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Город Светлоград, общественная территория, прилегающая к государственному бюджетному учреждению здравоохранения Ставропольского края «Петровская районная больница» по просп. Генерала Воробьева, 1</w:t>
            </w:r>
          </w:p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Современная городская среда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Аллея по улице 9-е Января города Светлограда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2026 год</w:t>
            </w:r>
          </w:p>
        </w:tc>
      </w:tr>
      <w:tr>
        <w:trPr/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Село Гофицкое, пересечение ул. Гражданская – Советская (парк)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snapToGrid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2027 год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2028 год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2029 год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2030 год</w:t>
            </w:r>
          </w:p>
        </w:tc>
      </w:tr>
      <w:tr>
        <w:trPr/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074" w:type="dxa"/>
        <w:jc w:val="left"/>
        <w:tblInd w:w="538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4"/>
      </w:tblGrid>
      <w:tr>
        <w:trPr/>
        <w:tc>
          <w:tcPr>
            <w:tcW w:w="4074" w:type="dxa"/>
            <w:tcBorders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3</w:t>
            </w:r>
          </w:p>
          <w:p>
            <w:pPr>
              <w:pStyle w:val="ConsPlusNormal"/>
              <w:spacing w:lineRule="exact" w:line="24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40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4422"/>
        <w:gridCol w:w="4309"/>
      </w:tblGrid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Адрес (местоположение) объекта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Наименование юридического лица (индивидуального предпринимателя), в собственности которого находится объект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г. Светлоград, ул. Садовая, 90 а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Кожин И.Н.</w:t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358" w:type="dxa"/>
        <w:jc w:val="left"/>
        <w:tblInd w:w="5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8"/>
      </w:tblGrid>
      <w:tr>
        <w:trPr/>
        <w:tc>
          <w:tcPr>
            <w:tcW w:w="4358" w:type="dxa"/>
            <w:tcBorders/>
          </w:tcPr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4</w:t>
            </w:r>
          </w:p>
          <w:p>
            <w:pPr>
              <w:pStyle w:val="ConsPlusNormal"/>
              <w:spacing w:lineRule="exact" w:line="24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  <w:p>
            <w:pPr>
              <w:pStyle w:val="Normal"/>
              <w:widowControl w:val="false"/>
              <w:spacing w:lineRule="exact" w:line="240" w:before="0"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Визуализированный </w:t>
      </w:r>
      <w:hyperlink w:anchor="P744">
        <w:r>
          <w:rPr>
            <w:rStyle w:val="Hyperlink"/>
            <w:rFonts w:cs="Times New Roman" w:ascii="Times New Roman" w:hAnsi="Times New Roman"/>
            <w:color w:val="030303"/>
            <w:sz w:val="28"/>
            <w:szCs w:val="28"/>
          </w:rPr>
          <w:t>перечень</w:t>
        </w:r>
      </w:hyperlink>
      <w:r>
        <w:rPr>
          <w:rFonts w:cs="Times New Roman" w:ascii="Times New Roman" w:hAnsi="Times New Roman"/>
          <w:color w:val="030303"/>
          <w:sz w:val="28"/>
          <w:szCs w:val="28"/>
        </w:rPr>
        <w:t xml:space="preserve"> образцов</w:t>
      </w:r>
      <w:r>
        <w:rPr>
          <w:rFonts w:cs="Times New Roman" w:ascii="Times New Roman" w:hAnsi="Times New Roman"/>
          <w:sz w:val="28"/>
          <w:szCs w:val="28"/>
        </w:rPr>
        <w:t xml:space="preserve"> элементов благоустройства, предлагаемых к размещению на дворовых территориях в 2025 - 2030 годах, сформированный исходя из минимального перечня видов работ по благоустройству дворовых территорий</w:t>
      </w:r>
    </w:p>
    <w:p>
      <w:pPr>
        <w:pStyle w:val="Style37"/>
        <w:widowControl w:val="false"/>
        <w:numPr>
          <w:ilvl w:val="0"/>
          <w:numId w:val="1"/>
        </w:numPr>
        <w:spacing w:lineRule="auto" w:line="240" w:before="0" w:after="0"/>
        <w:ind w:hanging="360" w:left="0" w:righ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Элементы освещения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608320" cy="26339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608320" cy="262699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608320" cy="28752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846955" cy="259969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846955" cy="268224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360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Скамейки</w:t>
      </w:r>
    </w:p>
    <w:p>
      <w:pPr>
        <w:pStyle w:val="Style37"/>
        <w:tabs>
          <w:tab w:val="clear" w:pos="708"/>
          <w:tab w:val="left" w:pos="2927" w:leader="none"/>
        </w:tabs>
        <w:spacing w:before="0" w:after="0"/>
        <w:ind w:left="0" w:righ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939790" cy="392366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939790" cy="419925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939790" cy="419925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4" t="-63" r="-44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7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Урны</w:t>
      </w:r>
    </w:p>
    <w:p>
      <w:pPr>
        <w:pStyle w:val="Style37"/>
        <w:widowControl w:val="false"/>
        <w:tabs>
          <w:tab w:val="clear" w:pos="708"/>
          <w:tab w:val="left" w:pos="2927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927" w:leader="none"/>
        </w:tabs>
        <w:spacing w:before="0" w:after="0"/>
        <w:ind w:hanging="425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921250" cy="357060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9" t="-50" r="-59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268" w:leader="none"/>
        </w:tabs>
        <w:spacing w:before="0" w:after="0"/>
        <w:ind w:firstLine="1134" w:right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5074920" cy="423481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7" t="-51" r="-57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67" w:leader="none"/>
        </w:tabs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4643120" cy="4318635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62" t="-50" r="-62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4074" w:type="dxa"/>
        <w:jc w:val="left"/>
        <w:tblInd w:w="549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4"/>
      </w:tblGrid>
      <w:tr>
        <w:trPr/>
        <w:tc>
          <w:tcPr>
            <w:tcW w:w="4074" w:type="dxa"/>
            <w:tcBorders/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Приложение 5</w:t>
            </w:r>
          </w:p>
          <w:p>
            <w:pPr>
              <w:pStyle w:val="Style31"/>
              <w:spacing w:lineRule="exact" w:line="24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к подпрограмме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«Современная городская среда»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муниципальной программы Петровского муниципального округа Ставропольского края «Формирование современной городской среды»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</w:tc>
      </w:tr>
    </w:tbl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31"/>
        <w:spacing w:lineRule="exact" w:line="24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Перечень общественных территорий, подлежащих в рамках реализации муниципальной программы Петровского муниципального округа Ставропольского края «Формирование современной городской среды» благоустройству в первоочередном порядке в 2025 году</w:t>
      </w:r>
    </w:p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63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8664"/>
        <w:gridCol w:w="275"/>
      </w:tblGrid>
      <w:tr>
        <w:trPr/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п/п</w:t>
            </w:r>
          </w:p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Общественная территория*</w:t>
            </w:r>
          </w:p>
        </w:tc>
        <w:tc>
          <w:tcPr>
            <w:tcW w:w="275" w:type="dxa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Общественная территория, прилегающая к ГБУЗ СК «Петровская РБ» по проспекту Генерала Воробьева, 1 города Светлограда</w:t>
            </w:r>
          </w:p>
        </w:tc>
        <w:tc>
          <w:tcPr>
            <w:tcW w:w="275" w:type="dxa"/>
            <w:tcBorders>
              <w:left w:val="single" w:sz="4" w:space="0" w:color="000000"/>
            </w:tcBorders>
          </w:tcPr>
          <w:p>
            <w:pPr>
              <w:pStyle w:val="Normal"/>
              <w:snapToGrid w:val="false"/>
              <w:spacing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Style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* общественная территория определена по итогам рейтингового голосования»</w:t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exact" w:line="240"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sectPr>
      <w:type w:val="nextPage"/>
      <w:pgSz w:w="11906" w:h="16838"/>
      <w:pgMar w:left="1985" w:right="567" w:gutter="0" w:header="0" w:top="1418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Tahoma">
    <w:charset w:val="cc"/>
    <w:family w:val="swiss"/>
    <w:pitch w:val="variable"/>
  </w:font>
  <w:font w:name="Wingdings">
    <w:charset w:val="02"/>
    <w:family w:val="auto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  <w:font w:name="StarSymbol">
    <w:altName w:val="Arial Unicode MS"/>
    <w:charset w:val="00"/>
    <w:family w:val="roman"/>
    <w:pitch w:val="default"/>
  </w:font>
  <w:font w:name="Candara">
    <w:charset w:val="cc"/>
    <w:family w:val="swiss"/>
    <w:pitch w:val="variable"/>
  </w:font>
  <w:font w:name="DejaVu Sans">
    <w:altName w:val="Times New Roman"/>
    <w:charset w:val="01"/>
    <w:family w:val="roman"/>
    <w:pitch w:val="variable"/>
  </w:font>
  <w:font w:name="Verdan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rFonts w:ascii="Times New Roman" w:hAnsi="Times New Roman" w:cs="Times New Roman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200"/>
  <w:defaultTabStop w:val="708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roid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>
      <w:rFonts w:ascii="Times New Roman" w:hAnsi="Times New Roman" w:cs="Times New Roman"/>
    </w:rPr>
  </w:style>
  <w:style w:type="character" w:styleId="WW8Num4z0">
    <w:name w:val="WW8Num4z0"/>
    <w:qFormat/>
    <w:rPr>
      <w:rFonts w:ascii="Times New Roman" w:hAnsi="Times New Roman" w:cs="Times New Roman"/>
      <w:sz w:val="28"/>
      <w:lang w:val="ru-RU"/>
    </w:rPr>
  </w:style>
  <w:style w:type="character" w:styleId="WW8Num7z0">
    <w:name w:val="WW8Num7z0"/>
    <w:qFormat/>
    <w:rPr/>
  </w:style>
  <w:style w:type="character" w:styleId="WW8Num9z0">
    <w:name w:val="WW8Num9z0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>
      <w:rFonts w:ascii="Times New Roman" w:hAnsi="Times New Roman" w:cs="Times New Roman"/>
    </w:rPr>
  </w:style>
  <w:style w:type="character" w:styleId="WW8Num11z0">
    <w:name w:val="WW8Num11z0"/>
    <w:qFormat/>
    <w:rPr/>
  </w:style>
  <w:style w:type="character" w:styleId="WW8Num13z0">
    <w:name w:val="WW8Num13z0"/>
    <w:qFormat/>
    <w:rPr>
      <w:rFonts w:ascii="Times New Roman" w:hAnsi="Times New Roman" w:cs="Times New Roman"/>
    </w:rPr>
  </w:style>
  <w:style w:type="character" w:styleId="WW8Num14z0">
    <w:name w:val="WW8Num14z0"/>
    <w:qFormat/>
    <w:rPr/>
  </w:style>
  <w:style w:type="character" w:styleId="Style14">
    <w:name w:val="Основной шрифт абзаца"/>
    <w:qFormat/>
    <w:rPr/>
  </w:style>
  <w:style w:type="character" w:styleId="Style15">
    <w:name w:val="Название Знак"/>
    <w:qFormat/>
    <w:rPr>
      <w:rFonts w:ascii="Times New Roman" w:hAnsi="Times New Roman" w:eastAsia="Times New Roman" w:cs="Times New Roman"/>
      <w:b/>
      <w:bCs/>
      <w:sz w:val="32"/>
      <w:szCs w:val="32"/>
    </w:rPr>
  </w:style>
  <w:style w:type="character" w:styleId="Hyperlink">
    <w:name w:val="Hyperlink"/>
    <w:rPr>
      <w:color w:val="0000FF"/>
      <w:u w:val="single"/>
    </w:rPr>
  </w:style>
  <w:style w:type="character" w:styleId="Style16">
    <w:name w:val="Верхний колонтитул Знак"/>
    <w:basedOn w:val="Style14"/>
    <w:qFormat/>
    <w:rPr/>
  </w:style>
  <w:style w:type="character" w:styleId="Style17">
    <w:name w:val="Нижний колонтитул Знак"/>
    <w:basedOn w:val="Style14"/>
    <w:qFormat/>
    <w:rPr/>
  </w:style>
  <w:style w:type="character" w:styleId="HTML">
    <w:name w:val="Стандартный HTML Знак"/>
    <w:qFormat/>
    <w:rPr>
      <w:rFonts w:ascii="Courier New" w:hAnsi="Courier New" w:cs="Courier New"/>
    </w:rPr>
  </w:style>
  <w:style w:type="character" w:styleId="Style18">
    <w:name w:val="Текст выноски Знак"/>
    <w:qFormat/>
    <w:rPr>
      <w:rFonts w:ascii="Tahoma" w:hAnsi="Tahoma" w:cs="Tahoma"/>
      <w:sz w:val="16"/>
      <w:szCs w:val="16"/>
    </w:rPr>
  </w:style>
  <w:style w:type="character" w:styleId="1">
    <w:name w:val="Основной текст Знак1"/>
    <w:qFormat/>
    <w:rPr>
      <w:rFonts w:ascii="Times New Roman" w:hAnsi="Times New Roman" w:cs="Times New Roman"/>
      <w:sz w:val="24"/>
      <w:szCs w:val="24"/>
    </w:rPr>
  </w:style>
  <w:style w:type="character" w:styleId="11">
    <w:name w:val="Схема документа Знак1"/>
    <w:qFormat/>
    <w:rPr>
      <w:rFonts w:ascii="Tahoma" w:hAnsi="Tahoma" w:eastAsia="Times New Roman" w:cs="Tahoma"/>
      <w:sz w:val="16"/>
      <w:szCs w:val="16"/>
    </w:rPr>
  </w:style>
  <w:style w:type="character" w:styleId="WW--">
    <w:name w:val="WW-Интернет-ссылка"/>
    <w:qFormat/>
    <w:rPr>
      <w:color w:val="0000FF"/>
      <w:u w:val="single"/>
    </w:rPr>
  </w:style>
  <w:style w:type="character" w:styleId="Style19">
    <w:name w:val="Основной текст Знак"/>
    <w:qFormat/>
    <w:rPr>
      <w:rFonts w:ascii="Times New Roman" w:hAnsi="Times New Roman" w:eastAsia="Times New Roman" w:cs="Times New Roman"/>
      <w:b/>
      <w:bCs/>
      <w:caps/>
      <w:sz w:val="28"/>
      <w:szCs w:val="24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cs="Arial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>
      <w:rFonts w:ascii="Courier New" w:hAnsi="Courier New" w:cs="Courier New"/>
      <w:sz w:val="20"/>
    </w:rPr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Symbol" w:hAnsi="Symbol" w:eastAsia="Times New Roman" w:cs="Aria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9z3">
    <w:name w:val="WW8Num9z3"/>
    <w:qFormat/>
    <w:rPr>
      <w:rFonts w:ascii="Symbol" w:hAnsi="Symbol" w:cs="Symbol"/>
    </w:rPr>
  </w:style>
  <w:style w:type="character" w:styleId="12">
    <w:name w:val="Заголовок 1 Знак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2">
    <w:name w:val="Заголовок 2 Знак"/>
    <w:qFormat/>
    <w:rPr>
      <w:rFonts w:ascii="Times New Roman" w:hAnsi="Times New Roman" w:eastAsia="Times New Roman" w:cs="Times New Roman"/>
      <w:b/>
      <w:sz w:val="28"/>
      <w:szCs w:val="20"/>
    </w:rPr>
  </w:style>
  <w:style w:type="character" w:styleId="Apple-style-span">
    <w:name w:val="apple-style-span"/>
    <w:qFormat/>
    <w:rPr/>
  </w:style>
  <w:style w:type="character" w:styleId="13">
    <w:name w:val="Название Знак1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Style20">
    <w:name w:val="Символ нумерации"/>
    <w:qFormat/>
    <w:rPr/>
  </w:style>
  <w:style w:type="character" w:styleId="FontStyle29">
    <w:name w:val="Font Style29"/>
    <w:qFormat/>
    <w:rPr>
      <w:rFonts w:ascii="Times New Roman" w:hAnsi="Times New Roman" w:cs="Times New Roman"/>
      <w:sz w:val="26"/>
      <w:szCs w:val="26"/>
    </w:rPr>
  </w:style>
  <w:style w:type="character" w:styleId="PageNumber">
    <w:name w:val="Page Number"/>
    <w:rPr/>
  </w:style>
  <w:style w:type="character" w:styleId="3">
    <w:name w:val="Основной текст с отступом 3 Знак"/>
    <w:qFormat/>
    <w:rPr>
      <w:rFonts w:ascii="Times New Roman" w:hAnsi="Times New Roman" w:cs="Times New Roman"/>
      <w:sz w:val="28"/>
      <w:szCs w:val="24"/>
    </w:rPr>
  </w:style>
  <w:style w:type="character" w:styleId="Style21">
    <w:name w:val="Основной текст с отступом Знак"/>
    <w:qFormat/>
    <w:rPr>
      <w:rFonts w:ascii="Times New Roman" w:hAnsi="Times New Roman" w:cs="Times New Roman"/>
      <w:sz w:val="28"/>
      <w:szCs w:val="24"/>
    </w:rPr>
  </w:style>
  <w:style w:type="character" w:styleId="21">
    <w:name w:val="Основной текст с отступом 2 Знак"/>
    <w:qFormat/>
    <w:rPr>
      <w:rFonts w:ascii="Times New Roman" w:hAnsi="Times New Roman" w:cs="Times New Roman"/>
      <w:sz w:val="28"/>
      <w:szCs w:val="24"/>
      <w:u w:val="single"/>
    </w:rPr>
  </w:style>
  <w:style w:type="character" w:styleId="22">
    <w:name w:val="Основной текст 2 Знак"/>
    <w:qFormat/>
    <w:rPr>
      <w:rFonts w:ascii="Times New Roman" w:hAnsi="Times New Roman" w:cs="Arial"/>
      <w:sz w:val="28"/>
    </w:rPr>
  </w:style>
  <w:style w:type="character" w:styleId="Style22">
    <w:name w:val="Текст сноски Знак"/>
    <w:qFormat/>
    <w:rPr>
      <w:rFonts w:ascii="Times New Roman" w:hAnsi="Times New Roman" w:cs="Arial"/>
    </w:rPr>
  </w:style>
  <w:style w:type="character" w:styleId="Style23">
    <w:name w:val="Символ сноски"/>
    <w:qFormat/>
    <w:rPr>
      <w:vertAlign w:val="superscript"/>
    </w:rPr>
  </w:style>
  <w:style w:type="character" w:styleId="Style24">
    <w:name w:val="Выделение жирным"/>
    <w:qFormat/>
    <w:rPr>
      <w:b/>
      <w:bCs/>
    </w:rPr>
  </w:style>
  <w:style w:type="character" w:styleId="Grame">
    <w:name w:val="grame"/>
    <w:qFormat/>
    <w:rPr/>
  </w:style>
  <w:style w:type="character" w:styleId="Style25">
    <w:name w:val="Текст концевой сноски Знак"/>
    <w:qFormat/>
    <w:rPr>
      <w:rFonts w:ascii="Times New Roman" w:hAnsi="Times New Roman" w:cs="Arial"/>
    </w:rPr>
  </w:style>
  <w:style w:type="character" w:styleId="Style26">
    <w:name w:val="Символ концевой сноски"/>
    <w:qFormat/>
    <w:rPr>
      <w:vertAlign w:val="superscript"/>
    </w:rPr>
  </w:style>
  <w:style w:type="character" w:styleId="FontStyle13">
    <w:name w:val="Font Style13"/>
    <w:qFormat/>
    <w:rPr>
      <w:rFonts w:ascii="Times New Roman" w:hAnsi="Times New Roman" w:cs="Times New Roman"/>
      <w:sz w:val="26"/>
      <w:szCs w:val="26"/>
    </w:rPr>
  </w:style>
  <w:style w:type="character" w:styleId="5">
    <w:name w:val="Заголовок 5 Знак"/>
    <w:qFormat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31">
    <w:name w:val="Заголовок 3 Знак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4">
    <w:name w:val="Заголовок 4 Знак"/>
    <w:qFormat/>
    <w:rPr>
      <w:rFonts w:ascii="Arial" w:hAnsi="Arial" w:cs="Arial"/>
      <w:sz w:val="24"/>
      <w:szCs w:val="24"/>
    </w:rPr>
  </w:style>
  <w:style w:type="character" w:styleId="Fontstyle131">
    <w:name w:val="fontstyle13"/>
    <w:qFormat/>
    <w:rPr/>
  </w:style>
  <w:style w:type="character" w:styleId="311">
    <w:name w:val="Основной текст с отступом 3 Знак1"/>
    <w:qFormat/>
    <w:rPr>
      <w:rFonts w:ascii="Times New Roman" w:hAnsi="Times New Roman" w:cs="Times New Roman"/>
      <w:sz w:val="28"/>
      <w:szCs w:val="24"/>
      <w:lang w:eastAsia="zh-CN"/>
    </w:rPr>
  </w:style>
  <w:style w:type="character" w:styleId="14">
    <w:name w:val="Основной текст с отступом Знак1"/>
    <w:qFormat/>
    <w:rPr>
      <w:rFonts w:ascii="Times New Roman" w:hAnsi="Times New Roman" w:cs="Times New Roman"/>
      <w:sz w:val="28"/>
      <w:szCs w:val="24"/>
      <w:lang w:eastAsia="zh-CN"/>
    </w:rPr>
  </w:style>
  <w:style w:type="character" w:styleId="211">
    <w:name w:val="Основной текст с отступом 2 Знак1"/>
    <w:qFormat/>
    <w:rPr>
      <w:rFonts w:ascii="Times New Roman" w:hAnsi="Times New Roman" w:cs="Times New Roman"/>
      <w:sz w:val="28"/>
      <w:szCs w:val="24"/>
      <w:u w:val="single"/>
      <w:lang w:eastAsia="zh-CN"/>
    </w:rPr>
  </w:style>
  <w:style w:type="character" w:styleId="212">
    <w:name w:val="Основной текст 2 Знак1"/>
    <w:qFormat/>
    <w:rPr>
      <w:rFonts w:ascii="Times New Roman" w:hAnsi="Times New Roman" w:cs="Times New Roman"/>
      <w:sz w:val="28"/>
      <w:lang w:eastAsia="zh-CN"/>
    </w:rPr>
  </w:style>
  <w:style w:type="character" w:styleId="15">
    <w:name w:val="Верхний колонтитул Знак1"/>
    <w:qFormat/>
    <w:rPr>
      <w:rFonts w:ascii="Calibri" w:hAnsi="Calibri" w:eastAsia="Times New Roman" w:cs="Times New Roman"/>
      <w:sz w:val="22"/>
      <w:szCs w:val="22"/>
      <w:lang w:bidi="ar-SA"/>
    </w:rPr>
  </w:style>
  <w:style w:type="character" w:styleId="16">
    <w:name w:val="Нижний колонтитул Знак1"/>
    <w:qFormat/>
    <w:rPr>
      <w:rFonts w:ascii="Calibri" w:hAnsi="Calibri" w:eastAsia="Times New Roman" w:cs="Times New Roman"/>
      <w:sz w:val="22"/>
      <w:szCs w:val="22"/>
      <w:lang w:bidi="ar-SA"/>
    </w:rPr>
  </w:style>
  <w:style w:type="character" w:styleId="Highlightcolor">
    <w:name w:val="highlightcolor"/>
    <w:qFormat/>
    <w:rPr/>
  </w:style>
  <w:style w:type="character" w:styleId="Dd-postheadericon">
    <w:name w:val="dd-postheadericon"/>
    <w:qFormat/>
    <w:rPr/>
  </w:style>
  <w:style w:type="character" w:styleId="Emphasis">
    <w:name w:val="Emphasis"/>
    <w:qFormat/>
    <w:rPr>
      <w:i/>
      <w:iCs/>
    </w:rPr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>
      <w:rFonts w:ascii="Courier New" w:hAnsi="Courier New" w:cs="Courier New"/>
      <w:sz w:val="20"/>
    </w:rPr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sz w:val="28"/>
    </w:rPr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rFonts w:ascii="Times New Roman" w:hAnsi="Times New Roman" w:eastAsia="Cambria" w:cs="Times New Roman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7z3">
    <w:name w:val="WW8Num17z3"/>
    <w:qFormat/>
    <w:rPr>
      <w:rFonts w:ascii="Symbol" w:hAnsi="Symbol" w:cs="Symbol"/>
    </w:rPr>
  </w:style>
  <w:style w:type="character" w:styleId="6">
    <w:name w:val="Заголовок 6 Знак"/>
    <w:qFormat/>
    <w:rPr>
      <w:rFonts w:ascii="Times New Roman" w:hAnsi="Times New Roman" w:eastAsia="Arial Unicode MS" w:cs="Times New Roman"/>
      <w:b/>
    </w:rPr>
  </w:style>
  <w:style w:type="character" w:styleId="Style27">
    <w:name w:val="Маркеры списка"/>
    <w:qFormat/>
    <w:rPr>
      <w:rFonts w:ascii="StarSymbol;Arial Unicode MS" w:hAnsi="StarSymbol;Arial Unicode MS" w:eastAsia="StarSymbol;Arial Unicode MS" w:cs="StarSymbol;Arial Unicode MS"/>
      <w:sz w:val="18"/>
      <w:szCs w:val="18"/>
    </w:rPr>
  </w:style>
  <w:style w:type="character" w:styleId="Style28">
    <w:name w:val="Подзаголовок Знак"/>
    <w:qFormat/>
    <w:rPr>
      <w:rFonts w:ascii="Times New Roman" w:hAnsi="Times New Roman" w:eastAsia="Lucida Sans Unicode" w:cs="Times New Roman"/>
      <w:i/>
      <w:iCs/>
      <w:sz w:val="28"/>
      <w:szCs w:val="28"/>
      <w:lang w:val="ru-RU"/>
    </w:rPr>
  </w:style>
  <w:style w:type="character" w:styleId="17">
    <w:name w:val="Подзаголовок Знак1"/>
    <w:qFormat/>
    <w:rPr>
      <w:rFonts w:ascii="Times New Roman" w:hAnsi="Times New Roman" w:eastAsia="Lucida Sans Unicode" w:cs="Times New Roman"/>
      <w:i/>
      <w:iCs/>
      <w:sz w:val="28"/>
      <w:szCs w:val="28"/>
      <w:lang w:eastAsia="zh-CN"/>
    </w:rPr>
  </w:style>
  <w:style w:type="paragraph" w:styleId="Style29">
    <w:name w:val="Заголовок"/>
    <w:basedOn w:val="Normal"/>
    <w:next w:val="BodyText"/>
    <w:qFormat/>
    <w:pPr>
      <w:spacing w:lineRule="auto" w:line="240" w:before="0" w:after="0"/>
      <w:jc w:val="center"/>
    </w:pPr>
    <w:rPr>
      <w:rFonts w:ascii="Times New Roman" w:hAnsi="Times New Roman" w:cs="Times New Roman"/>
      <w:b/>
      <w:bCs/>
      <w:sz w:val="32"/>
      <w:szCs w:val="32"/>
      <w:lang w:val="ru-RU"/>
    </w:rPr>
  </w:style>
  <w:style w:type="paragraph" w:styleId="BodyText">
    <w:name w:val="Body Text"/>
    <w:basedOn w:val="Normal"/>
    <w:pPr>
      <w:spacing w:lineRule="auto" w:line="240" w:before="0" w:after="120"/>
    </w:pPr>
    <w:rPr>
      <w:rFonts w:ascii="Times New Roman" w:hAnsi="Times New Roman" w:cs="Times New Roman"/>
      <w:sz w:val="24"/>
      <w:szCs w:val="24"/>
    </w:rPr>
  </w:style>
  <w:style w:type="paragraph" w:styleId="List">
    <w:name w:val="List"/>
    <w:basedOn w:val="BodyText"/>
    <w:pPr>
      <w:widowControl w:val="false"/>
      <w:suppressAutoHyphens w:val="true"/>
      <w:spacing w:lineRule="exact" w:line="240"/>
      <w:jc w:val="right"/>
      <w:outlineLvl w:val="1"/>
    </w:pPr>
    <w:rPr>
      <w:rFonts w:eastAsia="Lucida Sans Unicode" w:cs="Tahoma"/>
      <w:szCs w:val="20"/>
      <w:lang w:eastAsia="zh-CN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30">
    <w:name w:val="Указатель"/>
    <w:basedOn w:val="Normal"/>
    <w:qFormat/>
    <w:pPr>
      <w:suppressLineNumbers/>
    </w:pPr>
    <w:rPr>
      <w:rFonts w:cs="Droid Sans Devanagari"/>
    </w:rPr>
  </w:style>
  <w:style w:type="paragraph" w:styleId="ConsPlusNormal">
    <w:name w:val="ConsPlusNormal"/>
    <w:qFormat/>
    <w:pPr>
      <w:widowControl w:val="false"/>
      <w:autoSpaceDE w:val="false"/>
      <w:bidi w:val="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ConsNonformat">
    <w:name w:val="ConsNonformat"/>
    <w:qFormat/>
    <w:pPr>
      <w:widowControl w:val="false"/>
      <w:autoSpaceDE w:val="false"/>
      <w:bidi w:val="0"/>
      <w:ind w:hanging="0" w:left="0" w:right="19772"/>
    </w:pPr>
    <w:rPr>
      <w:rFonts w:ascii="Courier New" w:hAnsi="Courier New" w:eastAsia="Calibri" w:cs="Courier New"/>
      <w:color w:val="auto"/>
      <w:sz w:val="20"/>
      <w:szCs w:val="20"/>
      <w:lang w:val="ru-RU" w:bidi="ar-SA" w:eastAsia="zh-CN"/>
    </w:rPr>
  </w:style>
  <w:style w:type="paragraph" w:styleId="Style31">
    <w:name w:val="Без интервала"/>
    <w:qFormat/>
    <w:pPr>
      <w:widowControl/>
      <w:bidi w:val="0"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32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pacing w:lineRule="auto" w:line="240" w:before="0" w:after="0"/>
    </w:pPr>
    <w:rPr/>
  </w:style>
  <w:style w:type="paragraph" w:styleId="Footer">
    <w:name w:val="Footer"/>
    <w:basedOn w:val="Normal"/>
    <w:pPr>
      <w:spacing w:lineRule="auto" w:line="240" w:before="0" w:after="0"/>
    </w:pPr>
    <w:rPr/>
  </w:style>
  <w:style w:type="paragraph" w:styleId="ConsPlusNonformat">
    <w:name w:val="ConsPlusNonformat"/>
    <w:qFormat/>
    <w:pPr>
      <w:widowControl w:val="false"/>
      <w:autoSpaceDE w:val="false"/>
      <w:bidi w:val="0"/>
    </w:pPr>
    <w:rPr>
      <w:rFonts w:ascii="Courier New" w:hAnsi="Courier New" w:eastAsia="Times New Roman" w:cs="Courier New"/>
      <w:color w:val="auto"/>
      <w:sz w:val="20"/>
      <w:szCs w:val="20"/>
      <w:lang w:val="ru-RU" w:bidi="ar-SA" w:eastAsia="zh-CN"/>
    </w:rPr>
  </w:style>
  <w:style w:type="paragraph" w:styleId="ConsPlusTitle">
    <w:name w:val="ConsPlusTitle"/>
    <w:qFormat/>
    <w:pPr>
      <w:widowControl w:val="false"/>
      <w:autoSpaceDE w:val="false"/>
      <w:bidi w:val="0"/>
    </w:pPr>
    <w:rPr>
      <w:rFonts w:ascii="Arial" w:hAnsi="Arial" w:eastAsia="Times New Roman" w:cs="Arial"/>
      <w:b/>
      <w:bCs/>
      <w:color w:val="auto"/>
      <w:sz w:val="24"/>
      <w:szCs w:val="24"/>
      <w:lang w:val="ru-RU" w:bidi="ar-SA" w:eastAsia="zh-CN"/>
    </w:rPr>
  </w:style>
  <w:style w:type="paragraph" w:styleId="HTML1">
    <w:name w:val="Стандартный HTML"/>
    <w:basedOn w:val="Normal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cs="Courier New"/>
      <w:sz w:val="20"/>
      <w:szCs w:val="20"/>
      <w:lang w:val="ru-RU"/>
    </w:rPr>
  </w:style>
  <w:style w:type="paragraph" w:styleId="Western">
    <w:name w:val="western"/>
    <w:basedOn w:val="Normal"/>
    <w:qFormat/>
    <w:pPr>
      <w:spacing w:before="280" w:after="142"/>
    </w:pPr>
    <w:rPr>
      <w:rFonts w:cs="Calibri"/>
      <w:color w:val="000000"/>
      <w:lang w:eastAsia="zh-CN"/>
    </w:rPr>
  </w:style>
  <w:style w:type="paragraph" w:styleId="Style3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  <w:lang w:val="ru-RU"/>
    </w:rPr>
  </w:style>
  <w:style w:type="paragraph" w:styleId="Index1">
    <w:name w:val="Index 1"/>
    <w:basedOn w:val="Normal"/>
    <w:next w:val="Normal"/>
    <w:pPr>
      <w:ind w:hanging="220" w:left="220" w:right="0"/>
    </w:pPr>
    <w:rPr/>
  </w:style>
  <w:style w:type="paragraph" w:styleId="Style34">
    <w:name w:val="Схема документа"/>
    <w:basedOn w:val="Normal"/>
    <w:qFormat/>
    <w:pPr>
      <w:spacing w:lineRule="auto" w:line="240" w:before="0" w:after="0"/>
    </w:pPr>
    <w:rPr>
      <w:rFonts w:ascii="Tahoma" w:hAnsi="Tahoma" w:eastAsia="Times New Roman" w:cs="Tahoma"/>
      <w:sz w:val="16"/>
      <w:szCs w:val="16"/>
    </w:rPr>
  </w:style>
  <w:style w:type="paragraph" w:styleId="Style35">
    <w:name w:val="Содержимое таблицы"/>
    <w:basedOn w:val="Normal"/>
    <w:qFormat/>
    <w:pPr>
      <w:suppressLineNumbers/>
    </w:pPr>
    <w:rPr>
      <w:rFonts w:ascii="Calibri" w:hAnsi="Calibri" w:eastAsia="Times New Roman" w:cs="Times New Roman"/>
    </w:rPr>
  </w:style>
  <w:style w:type="paragraph" w:styleId="Default">
    <w:name w:val="Default"/>
    <w:qFormat/>
    <w:pPr>
      <w:widowControl/>
      <w:bidi w:val="0"/>
    </w:pPr>
    <w:rPr>
      <w:rFonts w:ascii="Candara" w:hAnsi="Candara" w:eastAsia="Calibri" w:cs="Candara"/>
      <w:color w:val="000000"/>
      <w:sz w:val="24"/>
      <w:szCs w:val="24"/>
      <w:lang w:val="ru-RU" w:bidi="ar-SA" w:eastAsia="zh-CN"/>
    </w:rPr>
  </w:style>
  <w:style w:type="paragraph" w:styleId="111">
    <w:name w:val="Заголовок 11"/>
    <w:basedOn w:val="Normal"/>
    <w:next w:val="Normal"/>
    <w:qFormat/>
    <w:pPr>
      <w:keepNext w:val="true"/>
      <w:keepLines/>
      <w:numPr>
        <w:ilvl w:val="0"/>
        <w:numId w:val="2"/>
      </w:numPr>
      <w:suppressAutoHyphens w:val="true"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zh-CN"/>
    </w:rPr>
  </w:style>
  <w:style w:type="paragraph" w:styleId="213">
    <w:name w:val="Заголовок 21"/>
    <w:basedOn w:val="Normal"/>
    <w:next w:val="Normal"/>
    <w:qFormat/>
    <w:pPr>
      <w:keepNext w:val="true"/>
      <w:widowControl w:val="false"/>
      <w:numPr>
        <w:ilvl w:val="0"/>
        <w:numId w:val="2"/>
      </w:numPr>
      <w:suppressAutoHyphens w:val="true"/>
      <w:spacing w:lineRule="auto" w:line="240" w:before="0" w:after="0"/>
      <w:jc w:val="both"/>
      <w:outlineLvl w:val="1"/>
    </w:pPr>
    <w:rPr>
      <w:rFonts w:ascii="Times New Roman" w:hAnsi="Times New Roman" w:cs="Times New Roman"/>
      <w:b/>
      <w:sz w:val="28"/>
      <w:szCs w:val="20"/>
      <w:lang w:eastAsia="zh-CN"/>
    </w:rPr>
  </w:style>
  <w:style w:type="paragraph" w:styleId="312">
    <w:name w:val="Заголовок 31"/>
    <w:basedOn w:val="Normal"/>
    <w:next w:val="Normal"/>
    <w:qFormat/>
    <w:pPr>
      <w:keepNext w:val="true"/>
      <w:numPr>
        <w:ilvl w:val="0"/>
        <w:numId w:val="2"/>
      </w:numPr>
      <w:suppressAutoHyphens w:val="true"/>
      <w:spacing w:before="240" w:after="60"/>
      <w:outlineLvl w:val="2"/>
    </w:pPr>
    <w:rPr>
      <w:rFonts w:ascii="Cambria" w:hAnsi="Cambria" w:cs="Cambria"/>
      <w:b/>
      <w:bCs/>
      <w:sz w:val="26"/>
      <w:szCs w:val="26"/>
      <w:lang w:eastAsia="zh-CN"/>
    </w:rPr>
  </w:style>
  <w:style w:type="paragraph" w:styleId="41">
    <w:name w:val="Заголовок 41"/>
    <w:basedOn w:val="312"/>
    <w:next w:val="Normal"/>
    <w:qFormat/>
    <w:pPr>
      <w:keepNext w:val="false"/>
      <w:widowControl w:val="false"/>
      <w:numPr>
        <w:ilvl w:val="0"/>
        <w:numId w:val="2"/>
      </w:numPr>
      <w:spacing w:lineRule="auto" w:line="240" w:before="0" w:after="0"/>
      <w:jc w:val="both"/>
      <w:outlineLvl w:val="3"/>
    </w:pPr>
    <w:rPr>
      <w:rFonts w:ascii="Arial" w:hAnsi="Arial" w:cs="Arial"/>
      <w:b w:val="false"/>
      <w:bCs w:val="false"/>
      <w:sz w:val="24"/>
      <w:szCs w:val="24"/>
    </w:rPr>
  </w:style>
  <w:style w:type="paragraph" w:styleId="51">
    <w:name w:val="Заголовок 51"/>
    <w:basedOn w:val="Normal"/>
    <w:next w:val="Normal"/>
    <w:qFormat/>
    <w:pPr>
      <w:numPr>
        <w:ilvl w:val="0"/>
        <w:numId w:val="2"/>
      </w:numPr>
      <w:suppressAutoHyphens w:val="true"/>
      <w:spacing w:before="240" w:after="60"/>
      <w:outlineLvl w:val="4"/>
    </w:pPr>
    <w:rPr>
      <w:b/>
      <w:bCs/>
      <w:i/>
      <w:iCs/>
      <w:sz w:val="26"/>
      <w:szCs w:val="26"/>
      <w:lang w:eastAsia="zh-CN"/>
    </w:rPr>
  </w:style>
  <w:style w:type="paragraph" w:styleId="18">
    <w:name w:val="Заголовок1"/>
    <w:basedOn w:val="Normal"/>
    <w:next w:val="BodyText"/>
    <w:qFormat/>
    <w:pPr>
      <w:keepNext w:val="true"/>
      <w:suppressAutoHyphens w:val="true"/>
      <w:spacing w:before="240" w:after="120"/>
    </w:pPr>
    <w:rPr>
      <w:rFonts w:ascii="DejaVu Sans;Times New Roman" w:hAnsi="DejaVu Sans;Times New Roman" w:eastAsia="Droid Sans Fallback" w:cs="Droid Sans Devanagari;Times New Roman"/>
      <w:sz w:val="28"/>
      <w:szCs w:val="28"/>
      <w:lang w:eastAsia="zh-CN"/>
    </w:rPr>
  </w:style>
  <w:style w:type="paragraph" w:styleId="19">
    <w:name w:val="Название объекта1"/>
    <w:basedOn w:val="Normal"/>
    <w:qFormat/>
    <w:pPr>
      <w:suppressLineNumbers/>
      <w:suppressAutoHyphens w:val="true"/>
      <w:spacing w:before="120" w:after="120"/>
    </w:pPr>
    <w:rPr>
      <w:rFonts w:cs="Droid Sans Devanagari;Times New Roman"/>
      <w:i/>
      <w:iCs/>
      <w:sz w:val="24"/>
      <w:szCs w:val="24"/>
      <w:lang w:eastAsia="zh-CN"/>
    </w:rPr>
  </w:style>
  <w:style w:type="paragraph" w:styleId="IndexHeading">
    <w:name w:val="Index Heading"/>
    <w:basedOn w:val="Normal"/>
    <w:pPr>
      <w:suppressLineNumbers/>
      <w:suppressAutoHyphens w:val="true"/>
    </w:pPr>
    <w:rPr>
      <w:rFonts w:cs="Droid Sans Devanagari;Times New Roman"/>
      <w:lang w:eastAsia="zh-CN"/>
    </w:rPr>
  </w:style>
  <w:style w:type="paragraph" w:styleId="Style36">
    <w:name w:val="Название объекта"/>
    <w:basedOn w:val="Normal"/>
    <w:qFormat/>
    <w:pPr>
      <w:suppressLineNumbers/>
      <w:suppressAutoHyphens w:val="true"/>
      <w:spacing w:before="120" w:after="120"/>
    </w:pPr>
    <w:rPr>
      <w:rFonts w:cs="Droid Sans Devanagari;Times New Roman"/>
      <w:i/>
      <w:iCs/>
      <w:sz w:val="24"/>
      <w:szCs w:val="24"/>
      <w:lang w:eastAsia="zh-CN"/>
    </w:rPr>
  </w:style>
  <w:style w:type="paragraph" w:styleId="ConsPlusCell">
    <w:name w:val="ConsPlusCell"/>
    <w:qFormat/>
    <w:pPr>
      <w:widowControl/>
      <w:suppressAutoHyphens w:val="true"/>
      <w:bidi w:val="0"/>
    </w:pPr>
    <w:rPr>
      <w:rFonts w:ascii="Arial" w:hAnsi="Arial" w:eastAsia="Times New Roman" w:cs="Arial"/>
      <w:color w:val="auto"/>
      <w:sz w:val="20"/>
      <w:szCs w:val="20"/>
      <w:lang w:val="ru-RU" w:eastAsia="zh-CN" w:bidi="ar-SA"/>
    </w:rPr>
  </w:style>
  <w:style w:type="paragraph" w:styleId="ConsTitle">
    <w:name w:val="ConsTitle"/>
    <w:qFormat/>
    <w:pPr>
      <w:widowControl/>
      <w:suppressAutoHyphens w:val="true"/>
      <w:bidi w:val="0"/>
    </w:pPr>
    <w:rPr>
      <w:rFonts w:ascii="Arial" w:hAnsi="Arial" w:eastAsia="Times New Roman" w:cs="Arial"/>
      <w:b/>
      <w:bCs/>
      <w:color w:val="auto"/>
      <w:sz w:val="16"/>
      <w:szCs w:val="16"/>
      <w:lang w:val="ru-RU" w:eastAsia="zh-CN" w:bidi="ar-SA"/>
    </w:rPr>
  </w:style>
  <w:style w:type="paragraph" w:styleId="110">
    <w:name w:val="Обычный (веб)1"/>
    <w:basedOn w:val="Normal"/>
    <w:qFormat/>
    <w:pPr>
      <w:suppressAutoHyphens w:val="true"/>
      <w:spacing w:lineRule="auto" w:line="240" w:before="280" w:after="280"/>
    </w:pPr>
    <w:rPr>
      <w:rFonts w:ascii="Times New Roman" w:hAnsi="Times New Roman" w:cs="Times New Roman"/>
      <w:sz w:val="24"/>
      <w:szCs w:val="24"/>
      <w:lang w:eastAsia="zh-CN"/>
    </w:rPr>
  </w:style>
  <w:style w:type="paragraph" w:styleId="Style51">
    <w:name w:val="Style5"/>
    <w:basedOn w:val="Normal"/>
    <w:qFormat/>
    <w:pPr>
      <w:widowControl w:val="false"/>
      <w:suppressAutoHyphens w:val="true"/>
      <w:spacing w:lineRule="exact" w:line="322" w:before="0" w:after="0"/>
      <w:jc w:val="both"/>
    </w:pPr>
    <w:rPr>
      <w:rFonts w:ascii="Times New Roman" w:hAnsi="Times New Roman" w:cs="Times New Roman"/>
      <w:sz w:val="24"/>
      <w:szCs w:val="24"/>
      <w:lang w:eastAsia="zh-CN"/>
    </w:rPr>
  </w:style>
  <w:style w:type="paragraph" w:styleId="Style61">
    <w:name w:val="Style6"/>
    <w:basedOn w:val="Normal"/>
    <w:qFormat/>
    <w:pPr>
      <w:widowControl w:val="false"/>
      <w:suppressAutoHyphens w:val="true"/>
      <w:spacing w:lineRule="exact" w:line="325" w:before="0" w:after="0"/>
      <w:ind w:firstLine="715" w:left="0" w:right="0"/>
      <w:jc w:val="both"/>
    </w:pPr>
    <w:rPr>
      <w:rFonts w:ascii="Times New Roman" w:hAnsi="Times New Roman" w:cs="Times New Roman"/>
      <w:sz w:val="24"/>
      <w:szCs w:val="24"/>
      <w:lang w:eastAsia="zh-CN"/>
    </w:rPr>
  </w:style>
  <w:style w:type="paragraph" w:styleId="112">
    <w:name w:val="Указатель1"/>
    <w:basedOn w:val="Normal"/>
    <w:qFormat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Lucida Sans Unicode" w:cs="Tahoma"/>
      <w:sz w:val="24"/>
      <w:szCs w:val="20"/>
      <w:lang w:eastAsia="zh-CN"/>
    </w:rPr>
  </w:style>
  <w:style w:type="paragraph" w:styleId="Style37">
    <w:name w:val="Абзац списка"/>
    <w:basedOn w:val="Normal"/>
    <w:qFormat/>
    <w:pPr>
      <w:suppressAutoHyphens w:val="true"/>
      <w:spacing w:before="0" w:after="200"/>
      <w:ind w:hanging="0" w:left="720" w:right="0"/>
      <w:contextualSpacing/>
    </w:pPr>
    <w:rPr>
      <w:lang w:eastAsia="zh-CN"/>
    </w:rPr>
  </w:style>
  <w:style w:type="paragraph" w:styleId="Style38">
    <w:name w:val="Верхний и нижний колонтитулы"/>
    <w:basedOn w:val="Normal"/>
    <w:qFormat/>
    <w:pPr>
      <w:suppressAutoHyphens w:val="true"/>
    </w:pPr>
    <w:rPr>
      <w:lang w:eastAsia="zh-CN"/>
    </w:rPr>
  </w:style>
  <w:style w:type="paragraph" w:styleId="113">
    <w:name w:val="Верхний колонтитул1"/>
    <w:basedOn w:val="Normal"/>
    <w:qFormat/>
    <w:pPr>
      <w:tabs>
        <w:tab w:val="clear" w:pos="708"/>
        <w:tab w:val="center" w:pos="4677" w:leader="none"/>
        <w:tab w:val="right" w:pos="9355" w:leader="none"/>
      </w:tabs>
      <w:suppressAutoHyphens w:val="true"/>
      <w:spacing w:lineRule="auto" w:line="240" w:before="0" w:after="0"/>
    </w:pPr>
    <w:rPr>
      <w:rFonts w:ascii="Times New Roman" w:hAnsi="Times New Roman" w:cs="Times New Roman"/>
      <w:sz w:val="28"/>
      <w:szCs w:val="24"/>
      <w:lang w:eastAsia="zh-CN"/>
    </w:rPr>
  </w:style>
  <w:style w:type="paragraph" w:styleId="32">
    <w:name w:val="Основной текст с отступом 3"/>
    <w:basedOn w:val="Normal"/>
    <w:qFormat/>
    <w:pPr>
      <w:suppressAutoHyphens w:val="true"/>
      <w:spacing w:lineRule="auto" w:line="240" w:before="0" w:after="0"/>
      <w:ind w:firstLine="840" w:left="0" w:right="0"/>
      <w:jc w:val="both"/>
    </w:pPr>
    <w:rPr>
      <w:rFonts w:ascii="Times New Roman" w:hAnsi="Times New Roman" w:cs="Times New Roman"/>
      <w:sz w:val="28"/>
      <w:szCs w:val="24"/>
      <w:lang w:eastAsia="zh-CN"/>
    </w:rPr>
  </w:style>
  <w:style w:type="paragraph" w:styleId="BodyTextIndent">
    <w:name w:val="Body Text Indent"/>
    <w:basedOn w:val="Normal"/>
    <w:pPr>
      <w:suppressAutoHyphens w:val="true"/>
      <w:spacing w:lineRule="auto" w:line="240" w:before="0" w:after="0"/>
      <w:ind w:firstLine="700" w:left="0" w:right="0"/>
      <w:jc w:val="both"/>
    </w:pPr>
    <w:rPr>
      <w:rFonts w:ascii="Times New Roman" w:hAnsi="Times New Roman" w:cs="Times New Roman"/>
      <w:sz w:val="28"/>
      <w:szCs w:val="24"/>
      <w:lang w:eastAsia="zh-CN"/>
    </w:rPr>
  </w:style>
  <w:style w:type="paragraph" w:styleId="23">
    <w:name w:val="Основной текст с отступом 2"/>
    <w:basedOn w:val="Normal"/>
    <w:qFormat/>
    <w:pPr>
      <w:suppressAutoHyphens w:val="true"/>
      <w:spacing w:lineRule="auto" w:line="240" w:before="0" w:after="0"/>
      <w:ind w:firstLine="700" w:left="0" w:right="0"/>
      <w:jc w:val="both"/>
    </w:pPr>
    <w:rPr>
      <w:rFonts w:ascii="Times New Roman" w:hAnsi="Times New Roman" w:cs="Times New Roman"/>
      <w:sz w:val="28"/>
      <w:szCs w:val="24"/>
      <w:u w:val="single"/>
      <w:lang w:eastAsia="zh-CN"/>
    </w:rPr>
  </w:style>
  <w:style w:type="paragraph" w:styleId="24">
    <w:name w:val="Основной текст 2"/>
    <w:basedOn w:val="Normal"/>
    <w:qFormat/>
    <w:pPr>
      <w:suppressAutoHyphens w:val="true"/>
      <w:spacing w:lineRule="auto" w:line="480" w:before="0" w:after="120"/>
    </w:pPr>
    <w:rPr>
      <w:rFonts w:ascii="Times New Roman" w:hAnsi="Times New Roman" w:cs="Times New Roman"/>
      <w:sz w:val="28"/>
      <w:szCs w:val="20"/>
      <w:lang w:eastAsia="zh-CN"/>
    </w:rPr>
  </w:style>
  <w:style w:type="paragraph" w:styleId="114">
    <w:name w:val="Текст сноски1"/>
    <w:basedOn w:val="Normal"/>
    <w:qFormat/>
    <w:pPr>
      <w:suppressAutoHyphens w:val="true"/>
      <w:spacing w:lineRule="auto" w:line="240" w:before="0" w:after="0"/>
    </w:pPr>
    <w:rPr>
      <w:rFonts w:ascii="Times New Roman" w:hAnsi="Times New Roman" w:cs="Times New Roman"/>
      <w:sz w:val="20"/>
      <w:szCs w:val="20"/>
      <w:lang w:eastAsia="zh-CN"/>
    </w:rPr>
  </w:style>
  <w:style w:type="paragraph" w:styleId="115">
    <w:name w:val="Нижний колонтитул1"/>
    <w:basedOn w:val="Normal"/>
    <w:qFormat/>
    <w:pPr>
      <w:tabs>
        <w:tab w:val="clear" w:pos="708"/>
        <w:tab w:val="center" w:pos="4677" w:leader="none"/>
        <w:tab w:val="right" w:pos="9355" w:leader="none"/>
      </w:tabs>
      <w:suppressAutoHyphens w:val="true"/>
      <w:spacing w:lineRule="auto" w:line="240" w:before="0" w:after="0"/>
    </w:pPr>
    <w:rPr>
      <w:rFonts w:ascii="Times New Roman" w:hAnsi="Times New Roman" w:cs="Times New Roman"/>
      <w:sz w:val="28"/>
      <w:szCs w:val="20"/>
      <w:lang w:eastAsia="zh-CN"/>
    </w:rPr>
  </w:style>
  <w:style w:type="paragraph" w:styleId="116">
    <w:name w:val="Знак Знак Знак1 Знак Знак Знак"/>
    <w:basedOn w:val="Normal"/>
    <w:qFormat/>
    <w:pPr>
      <w:suppressAutoHyphens w:val="true"/>
      <w:spacing w:lineRule="exact" w:line="240" w:before="0" w:after="160"/>
    </w:pPr>
    <w:rPr>
      <w:rFonts w:ascii="Verdana" w:hAnsi="Verdana" w:cs="Verdana"/>
      <w:sz w:val="20"/>
      <w:szCs w:val="20"/>
      <w:lang w:val="en-US" w:eastAsia="zh-CN"/>
    </w:rPr>
  </w:style>
  <w:style w:type="paragraph" w:styleId="117">
    <w:name w:val="Текст концевой сноски1"/>
    <w:basedOn w:val="Normal"/>
    <w:qFormat/>
    <w:pPr>
      <w:suppressAutoHyphens w:val="true"/>
      <w:spacing w:lineRule="auto" w:line="240" w:before="0" w:after="0"/>
    </w:pPr>
    <w:rPr>
      <w:rFonts w:ascii="Times New Roman" w:hAnsi="Times New Roman" w:cs="Times New Roman"/>
      <w:sz w:val="20"/>
      <w:szCs w:val="20"/>
      <w:lang w:eastAsia="zh-CN"/>
    </w:rPr>
  </w:style>
  <w:style w:type="paragraph" w:styleId="Style39">
    <w:name w:val="Знак"/>
    <w:basedOn w:val="Normal"/>
    <w:qFormat/>
    <w:pPr>
      <w:suppressAutoHyphens w:val="true"/>
      <w:spacing w:lineRule="auto" w:line="240" w:before="0" w:after="0"/>
    </w:pPr>
    <w:rPr>
      <w:rFonts w:ascii="Verdana" w:hAnsi="Verdana" w:cs="Verdana"/>
      <w:sz w:val="20"/>
      <w:szCs w:val="20"/>
      <w:lang w:val="en-US" w:eastAsia="zh-CN"/>
    </w:rPr>
  </w:style>
  <w:style w:type="paragraph" w:styleId="-1">
    <w:name w:val="Т-1"/>
    <w:basedOn w:val="Normal"/>
    <w:qFormat/>
    <w:pPr>
      <w:suppressAutoHyphens w:val="true"/>
      <w:spacing w:lineRule="auto" w:line="360" w:before="0" w:after="0"/>
      <w:ind w:firstLine="720" w:left="0" w:right="0"/>
      <w:jc w:val="both"/>
    </w:pPr>
    <w:rPr>
      <w:rFonts w:ascii="Times New Roman" w:hAnsi="Times New Roman" w:cs="Times New Roman"/>
      <w:sz w:val="28"/>
      <w:szCs w:val="20"/>
      <w:lang w:eastAsia="zh-CN"/>
    </w:rPr>
  </w:style>
  <w:style w:type="paragraph" w:styleId="ConsNormal">
    <w:name w:val="ConsNormal"/>
    <w:qFormat/>
    <w:pPr>
      <w:widowControl w:val="false"/>
      <w:suppressAutoHyphens w:val="true"/>
      <w:bidi w:val="0"/>
      <w:ind w:firstLine="720" w:left="0" w:right="19772"/>
      <w:jc w:val="both"/>
    </w:pPr>
    <w:rPr>
      <w:rFonts w:ascii="Arial" w:hAnsi="Arial" w:eastAsia="Times New Roman" w:cs="Arial"/>
      <w:color w:val="auto"/>
      <w:sz w:val="20"/>
      <w:szCs w:val="20"/>
      <w:lang w:val="ru-RU" w:eastAsia="zh-CN" w:bidi="ar-SA"/>
    </w:rPr>
  </w:style>
  <w:style w:type="paragraph" w:styleId="Style40">
    <w:name w:val="Содержимое врезки"/>
    <w:basedOn w:val="BodyText"/>
    <w:qFormat/>
    <w:pPr>
      <w:widowControl w:val="false"/>
      <w:suppressAutoHyphens w:val="true"/>
    </w:pPr>
    <w:rPr>
      <w:rFonts w:eastAsia="Lucida Sans Unicode"/>
      <w:szCs w:val="20"/>
      <w:lang w:eastAsia="zh-CN"/>
    </w:rPr>
  </w:style>
  <w:style w:type="paragraph" w:styleId="Style41">
    <w:name w:val="Заголовок таблицы"/>
    <w:basedOn w:val="Normal"/>
    <w:qFormat/>
    <w:pPr>
      <w:widowControl w:val="false"/>
      <w:suppressLineNumbers/>
      <w:suppressAutoHyphens w:val="true"/>
      <w:spacing w:lineRule="auto" w:line="240" w:before="0" w:after="0"/>
      <w:jc w:val="center"/>
    </w:pPr>
    <w:rPr>
      <w:rFonts w:ascii="Times New Roman" w:hAnsi="Times New Roman" w:eastAsia="Lucida Sans Unicode" w:cs="Times New Roman"/>
      <w:b/>
      <w:bCs/>
      <w:i/>
      <w:iCs/>
      <w:sz w:val="24"/>
      <w:szCs w:val="20"/>
      <w:lang w:eastAsia="zh-CN"/>
    </w:rPr>
  </w:style>
  <w:style w:type="paragraph" w:styleId="118">
    <w:name w:val="Без интервала1"/>
    <w:qFormat/>
    <w:pPr>
      <w:widowControl/>
      <w:bidi w:val="0"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Style91">
    <w:name w:val="Style9"/>
    <w:basedOn w:val="Normal"/>
    <w:qFormat/>
    <w:pPr>
      <w:widowControl w:val="false"/>
      <w:autoSpaceDE w:val="false"/>
      <w:spacing w:lineRule="exact" w:line="322" w:before="0" w:after="0"/>
      <w:ind w:firstLine="706" w:left="0" w:right="0"/>
    </w:pPr>
    <w:rPr>
      <w:rFonts w:cs="Calibri"/>
      <w:sz w:val="24"/>
      <w:szCs w:val="24"/>
    </w:rPr>
  </w:style>
  <w:style w:type="paragraph" w:styleId="61">
    <w:name w:val="Знак Знак6 Знак Знак Знак Знак Знак Знак Знак Знак Знак Знак"/>
    <w:basedOn w:val="Normal"/>
    <w:qFormat/>
    <w:pPr>
      <w:spacing w:lineRule="auto" w:line="240" w:before="0" w:after="0"/>
    </w:pPr>
    <w:rPr>
      <w:rFonts w:ascii="Verdana" w:hAnsi="Verdana" w:cs="Verdana"/>
      <w:sz w:val="20"/>
      <w:szCs w:val="20"/>
      <w:lang w:val="en-US"/>
    </w:rPr>
  </w:style>
  <w:style w:type="paragraph" w:styleId="52">
    <w:name w:val="Знак Знак5"/>
    <w:basedOn w:val="Normal"/>
    <w:qFormat/>
    <w:pPr>
      <w:spacing w:lineRule="auto" w:line="240" w:before="0" w:after="0"/>
    </w:pPr>
    <w:rPr>
      <w:rFonts w:ascii="Verdana" w:hAnsi="Verdana" w:cs="Verdana"/>
      <w:sz w:val="20"/>
      <w:szCs w:val="20"/>
      <w:lang w:val="en-US"/>
    </w:rPr>
  </w:style>
  <w:style w:type="paragraph" w:styleId="119">
    <w:name w:val="Знак Знак1 Знак Знак Знак Знак"/>
    <w:basedOn w:val="Normal"/>
    <w:qFormat/>
    <w:pPr>
      <w:spacing w:lineRule="auto" w:line="240" w:before="0" w:after="0"/>
    </w:pPr>
    <w:rPr>
      <w:rFonts w:ascii="Verdana" w:hAnsi="Verdana" w:cs="Verdana"/>
      <w:sz w:val="20"/>
      <w:szCs w:val="20"/>
      <w:lang w:val="en-US"/>
    </w:rPr>
  </w:style>
  <w:style w:type="paragraph" w:styleId="120">
    <w:name w:val="Знак Знак1 Знак Знак Знак Знак Знак Знак"/>
    <w:basedOn w:val="Normal"/>
    <w:qFormat/>
    <w:pPr>
      <w:spacing w:lineRule="auto" w:line="240" w:before="0" w:after="0"/>
    </w:pPr>
    <w:rPr>
      <w:rFonts w:ascii="Verdana" w:hAnsi="Verdana" w:cs="Verdana"/>
      <w:sz w:val="20"/>
      <w:szCs w:val="20"/>
      <w:lang w:val="en-US"/>
    </w:rPr>
  </w:style>
  <w:style w:type="paragraph" w:styleId="611">
    <w:name w:val="Заголовок 61"/>
    <w:basedOn w:val="Normal"/>
    <w:next w:val="Normal"/>
    <w:qFormat/>
    <w:pPr>
      <w:keepNext w:val="true"/>
      <w:widowControl w:val="false"/>
      <w:suppressAutoHyphens w:val="true"/>
      <w:spacing w:lineRule="auto" w:line="240" w:before="0" w:after="0"/>
      <w:outlineLvl w:val="5"/>
    </w:pPr>
    <w:rPr>
      <w:rFonts w:ascii="Times New Roman" w:hAnsi="Times New Roman" w:eastAsia="Arial Unicode MS" w:cs="Times New Roman"/>
      <w:b/>
      <w:sz w:val="20"/>
      <w:szCs w:val="20"/>
      <w:lang w:eastAsia="zh-CN"/>
    </w:rPr>
  </w:style>
  <w:style w:type="paragraph" w:styleId="Style42">
    <w:name w:val="Обычный (веб)"/>
    <w:basedOn w:val="Normal"/>
    <w:qFormat/>
    <w:pPr>
      <w:suppressAutoHyphens w:val="true"/>
      <w:spacing w:lineRule="auto" w:line="240" w:before="280" w:after="280"/>
    </w:pPr>
    <w:rPr>
      <w:rFonts w:ascii="Times New Roman" w:hAnsi="Times New Roman" w:cs="Times New Roman"/>
      <w:sz w:val="24"/>
      <w:szCs w:val="24"/>
      <w:lang w:eastAsia="zh-CN"/>
    </w:rPr>
  </w:style>
  <w:style w:type="paragraph" w:styleId="121">
    <w:name w:val="Название1"/>
    <w:basedOn w:val="Normal"/>
    <w:qFormat/>
    <w:pPr>
      <w:widowControl w:val="false"/>
      <w:suppressLineNumbers/>
      <w:suppressAutoHyphens w:val="true"/>
      <w:spacing w:lineRule="auto" w:line="240" w:before="120" w:after="120"/>
    </w:pPr>
    <w:rPr>
      <w:rFonts w:ascii="Times New Roman" w:hAnsi="Times New Roman" w:eastAsia="Lucida Sans Unicode" w:cs="Tahoma"/>
      <w:i/>
      <w:iCs/>
      <w:sz w:val="20"/>
      <w:szCs w:val="20"/>
      <w:lang w:eastAsia="zh-CN"/>
    </w:rPr>
  </w:style>
  <w:style w:type="paragraph" w:styleId="Subtitle">
    <w:name w:val="Subtitle"/>
    <w:basedOn w:val="18"/>
    <w:next w:val="BodyText"/>
    <w:qFormat/>
    <w:pPr>
      <w:keepNext w:val="false"/>
      <w:widowControl w:val="false"/>
      <w:spacing w:lineRule="auto" w:line="240" w:before="0" w:after="0"/>
      <w:jc w:val="center"/>
    </w:pPr>
    <w:rPr>
      <w:rFonts w:ascii="Times New Roman" w:hAnsi="Times New Roman" w:eastAsia="Lucida Sans Unicode" w:cs="Times New Roman"/>
      <w:i/>
      <w:iCs/>
    </w:rPr>
  </w:style>
  <w:style w:type="paragraph" w:styleId="Style43">
    <w:name w:val="Таблицы (моноширинный)"/>
    <w:basedOn w:val="Normal"/>
    <w:next w:val="Normal"/>
    <w:qFormat/>
    <w:pPr>
      <w:widowControl w:val="false"/>
      <w:suppressAutoHyphens w:val="true"/>
      <w:spacing w:lineRule="auto" w:line="240" w:before="0" w:after="0"/>
      <w:jc w:val="both"/>
    </w:pPr>
    <w:rPr>
      <w:rFonts w:ascii="Courier New" w:hAnsi="Courier New" w:cs="Courier New"/>
      <w:sz w:val="20"/>
      <w:szCs w:val="20"/>
      <w:lang w:eastAsia="zh-CN"/>
    </w:rPr>
  </w:style>
  <w:style w:type="paragraph" w:styleId="Style44">
    <w:name w:val="МаркТабл"/>
    <w:qFormat/>
    <w:pPr>
      <w:widowControl/>
      <w:tabs>
        <w:tab w:val="clear" w:pos="708"/>
        <w:tab w:val="left" w:pos="360" w:leader="none"/>
        <w:tab w:val="left" w:pos="680" w:leader="none"/>
      </w:tabs>
      <w:suppressAutoHyphens w:val="true"/>
      <w:bidi w:val="0"/>
    </w:pPr>
    <w:rPr>
      <w:rFonts w:ascii="Times New Roman" w:hAnsi="Times New Roman" w:eastAsia="SimSun;宋体" w:cs="Times New Roman"/>
      <w:color w:val="auto"/>
      <w:sz w:val="24"/>
      <w:szCs w:val="20"/>
      <w:lang w:val="ru-RU" w:eastAsia="zh-CN" w:bidi="ar-SA"/>
    </w:rPr>
  </w:style>
  <w:style w:type="paragraph" w:styleId="Style45">
    <w:name w:val="Нормальный (таблица)"/>
    <w:basedOn w:val="Normal"/>
    <w:next w:val="Normal"/>
    <w:qFormat/>
    <w:pPr>
      <w:widowControl w:val="false"/>
      <w:suppressAutoHyphens w:val="true"/>
      <w:spacing w:lineRule="auto" w:line="240" w:before="0" w:after="0"/>
      <w:jc w:val="both"/>
    </w:pPr>
    <w:rPr>
      <w:rFonts w:ascii="Arial" w:hAnsi="Arial" w:cs="Arial"/>
      <w:sz w:val="26"/>
      <w:szCs w:val="26"/>
      <w:lang w:eastAsia="zh-C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consultantplus://offline/ref=B53B5C4835FD56C51A633120F1AF30F2DE8C417B7CA41F661E2A5ACC1465A352D3F76134C824AD25b408K" TargetMode="External"/><Relationship Id="rId3" Type="http://schemas.openxmlformats.org/officeDocument/2006/relationships/hyperlink" Target="http://adm-starotitarovskaya.ru/index.php/formirovanie-komfortnoj-gorodskoj-sredy/3638-postanovlenie-ot-10-02-2017-goda-169-ob-utverzhdenii-pravil-predostavleniya-i-raspredeleniya-subsidij-ikh-federalnogo-byudzheta-sub-ektov-rossijskoj-federatsii-na-podderzhku-gosudarstvennykh-programm-sub-ektov-rossijskoj-federatsii-i-munitsipalnykh-programm-formirovaniya-sovremennoj-gorodskoj-sredy" TargetMode="External"/><Relationship Id="rId4" Type="http://schemas.openxmlformats.org/officeDocument/2006/relationships/hyperlink" Target="https://login.consultant.ru/link/?req=doc&amp;base=LAW&amp;n=285427" TargetMode="External"/><Relationship Id="rId5" Type="http://schemas.openxmlformats.org/officeDocument/2006/relationships/hyperlink" Target="https://login.consultant.ru/link/?req=doc&amp;base=RLAW077&amp;n=217424&amp;dst=100081" TargetMode="External"/><Relationship Id="rId6" Type="http://schemas.openxmlformats.org/officeDocument/2006/relationships/hyperlink" Target="https://login.consultant.ru/link/?req=doc&amp;base=RLAW077&amp;n=217424&amp;dst=100097" TargetMode="External"/><Relationship Id="rId7" Type="http://schemas.openxmlformats.org/officeDocument/2006/relationships/hyperlink" Target="https://login.consultant.ru/link/?req=doc&amp;base=RLAW077&amp;n=217424&amp;dst=100118" TargetMode="External"/><Relationship Id="rId8" Type="http://schemas.openxmlformats.org/officeDocument/2006/relationships/hyperlink" Target="consultantplus://offline/ref=1BB76CE11A32CE855BABD4642DE9CA9A73E42BE33B356D9C17D88B3AFC1FB24311B95BC565AFE903aEFDJ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151</TotalTime>
  <Application>LibreOffice/7.6.6.3$Linux_X86_64 LibreOffice_project/60$Build-3</Application>
  <AppVersion>15.0000</AppVersion>
  <Pages>43</Pages>
  <Words>4900</Words>
  <Characters>33281</Characters>
  <CharactersWithSpaces>37051</CharactersWithSpaces>
  <Paragraphs>1176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2024-06-14T11:18:00Z</dcterms:created>
  <dc:creator>Отдел экономичесого развития</dc:creator>
  <dc:description/>
  <cp:keywords/>
  <dc:language>ru-RU</dc:language>
  <cp:lastModifiedBy>admin</cp:lastModifiedBy>
  <cp:lastPrinted>2024-06-21T10:12:00Z</cp:lastPrinted>
  <dcterms:modified xsi:type="dcterms:W3CDTF">2024-06-24T08:20:00Z</dcterms:modified>
  <cp:revision>10</cp:revision>
  <dc:subject/>
  <dc:title/>
</cp:coreProperties>
</file>