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Р А С П О Р Я Ж Е Н И Е</w:t>
      </w:r>
    </w:p>
    <w:p>
      <w:pPr>
        <w:pStyle w:val="Title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</w:r>
    </w:p>
    <w:p>
      <w:pPr>
        <w:pStyle w:val="Title"/>
        <w:rPr>
          <w:b w:val="0"/>
          <w:color w:val="000000"/>
          <w:sz w:val="24"/>
        </w:rPr>
      </w:pPr>
      <w:r>
        <w:rPr>
          <w:b w:val="0"/>
          <w:color w:val="000000"/>
          <w:sz w:val="24"/>
          <w:lang w:val="ru-RU"/>
        </w:rPr>
        <w:t xml:space="preserve">АДМИНИСТРАЦИИ</w:t>
      </w:r>
      <w:r>
        <w:rPr>
          <w:b w:val="0"/>
          <w:color w:val="000000"/>
          <w:sz w:val="24"/>
        </w:rPr>
        <w:t xml:space="preserve"> ПЕТРОВСКОГО </w:t>
      </w:r>
      <w:r>
        <w:rPr>
          <w:b w:val="0"/>
          <w:color w:val="000000"/>
          <w:sz w:val="24"/>
          <w:lang w:val="ru-RU"/>
        </w:rPr>
        <w:t xml:space="preserve">МУНИЦИПАЛЬНОГО</w:t>
      </w:r>
      <w:r>
        <w:rPr>
          <w:b w:val="0"/>
          <w:color w:val="000000"/>
          <w:sz w:val="24"/>
        </w:rPr>
        <w:t xml:space="preserve"> ОКРУГА</w:t>
      </w:r>
    </w:p>
    <w:p>
      <w:pPr>
        <w:pStyle w:val="Title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СТАВРОПОЛЬСКОГО КРАЯ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ind w:left="-108"/>
              <w:jc w:val="both"/>
              <w:rPr>
                <w:b w:val="0"/>
                <w:color w:val="000000"/>
                <w:sz w:val="24"/>
                <w:szCs w:val="28"/>
                <w:lang w:val="ru-RU"/>
              </w:rPr>
            </w:pPr>
            <w:r>
              <w:rPr>
                <w:b w:val="0"/>
                <w:color w:val="000000"/>
                <w:sz w:val="24"/>
                <w:szCs w:val="28"/>
                <w:lang w:val="ru-RU"/>
              </w:rPr>
              <w:t xml:space="preserve">03 июля 2024 г.</w:t>
            </w:r>
            <w:r>
              <w:rPr>
                <w:b w:val="0"/>
                <w:color w:val="000000"/>
                <w:sz w:val="24"/>
                <w:szCs w:val="28"/>
                <w:lang w:val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 </w:t>
            </w:r>
            <w:r>
              <w:rPr>
                <w:color w:val="000000"/>
              </w:rPr>
              <w:t xml:space="preserve">Светлоград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Title"/>
              <w:jc w:val="right"/>
              <w:rPr>
                <w:b w:val="0"/>
                <w:color w:val="000000"/>
                <w:sz w:val="24"/>
                <w:szCs w:val="28"/>
                <w:lang w:val="ru-RU"/>
              </w:rPr>
            </w:pPr>
            <w:r>
              <w:rPr>
                <w:b w:val="0"/>
                <w:color w:val="000000"/>
                <w:sz w:val="24"/>
                <w:szCs w:val="28"/>
                <w:lang w:val="ru-RU"/>
              </w:rPr>
              <w:t xml:space="preserve">№ 315-р</w:t>
            </w:r>
            <w:r>
              <w:rPr>
                <w:b w:val="0"/>
                <w:color w:val="000000"/>
                <w:sz w:val="24"/>
                <w:szCs w:val="28"/>
                <w:lang w:val="ru-RU"/>
              </w:rPr>
            </w:r>
          </w:p>
        </w:tc>
      </w:tr>
    </w:tbl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заключении долгосрочн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о ст. 72 Бюджетного кодекса</w:t>
      </w:r>
      <w:r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постановлением администрации Петровского городского округа Ставропольского края от 08 июля 2020 г. № 892</w:t>
      </w:r>
      <w:r>
        <w:rPr>
          <w:sz w:val="28"/>
          <w:szCs w:val="28"/>
        </w:rPr>
        <w:t xml:space="preserve"> «Об утвер</w:t>
      </w:r>
      <w:r>
        <w:rPr>
          <w:sz w:val="28"/>
          <w:szCs w:val="28"/>
        </w:rPr>
        <w:t xml:space="preserve">ждении </w:t>
      </w:r>
      <w:r>
        <w:rPr>
          <w:sz w:val="28"/>
          <w:szCs w:val="28"/>
        </w:rPr>
        <w:t xml:space="preserve">Правил </w:t>
      </w:r>
      <w:r>
        <w:rPr>
          <w:bCs/>
          <w:sz w:val="28"/>
          <w:szCs w:val="28"/>
        </w:rPr>
        <w:t xml:space="preserve">принятия решений о заключении муниципальных контрактов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имени Петровского городского округа Ставропольского края на поставку товаров, выполнение работ, оказание услуг для обеспечения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муниципальных нужд Петровского городского округа Ставропольского края на срок, превышающий срок действия утвержденных лимитов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бюджетных</w:t>
      </w:r>
      <w:r>
        <w:rPr>
          <w:bCs/>
          <w:sz w:val="28"/>
          <w:szCs w:val="28"/>
        </w:rPr>
        <w:t xml:space="preserve"> обязательств»</w:t>
      </w:r>
      <w:r>
        <w:rPr>
          <w:bCs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Принять решение о з</w:t>
      </w:r>
      <w:r>
        <w:rPr>
          <w:color w:val="000000"/>
          <w:sz w:val="28"/>
          <w:szCs w:val="28"/>
        </w:rPr>
        <w:t xml:space="preserve">аключ</w:t>
      </w:r>
      <w:r>
        <w:rPr>
          <w:color w:val="000000"/>
          <w:sz w:val="28"/>
          <w:szCs w:val="28"/>
        </w:rPr>
        <w:t xml:space="preserve">ении</w:t>
      </w:r>
      <w:r>
        <w:rPr>
          <w:color w:val="000000"/>
          <w:sz w:val="28"/>
          <w:szCs w:val="28"/>
        </w:rPr>
        <w:t xml:space="preserve"> долгосрочн</w:t>
      </w:r>
      <w:r>
        <w:rPr>
          <w:color w:val="000000"/>
          <w:sz w:val="28"/>
          <w:szCs w:val="28"/>
        </w:rPr>
        <w:t xml:space="preserve">ого</w:t>
      </w:r>
      <w:r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 xml:space="preserve">ого</w:t>
      </w:r>
      <w:r>
        <w:rPr>
          <w:color w:val="000000"/>
          <w:sz w:val="28"/>
          <w:szCs w:val="28"/>
        </w:rPr>
        <w:t xml:space="preserve"> контракт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выполнение </w:t>
      </w:r>
      <w:r>
        <w:rPr>
          <w:color w:val="000000"/>
          <w:sz w:val="28"/>
          <w:szCs w:val="28"/>
        </w:rPr>
        <w:t xml:space="preserve">работ по р</w:t>
      </w:r>
      <w:r>
        <w:rPr>
          <w:color w:val="000000"/>
          <w:sz w:val="28"/>
          <w:szCs w:val="28"/>
        </w:rPr>
        <w:t xml:space="preserve">емонт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участка автомобильной дороги Светлоград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Просянка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Управлению муниципального хозяйства а</w:t>
      </w:r>
      <w:r>
        <w:rPr>
          <w:color w:val="000000"/>
          <w:sz w:val="28"/>
          <w:szCs w:val="28"/>
        </w:rPr>
        <w:t xml:space="preserve">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заключить </w:t>
      </w:r>
      <w:r>
        <w:rPr>
          <w:color w:val="000000"/>
          <w:sz w:val="28"/>
          <w:szCs w:val="28"/>
        </w:rPr>
        <w:t xml:space="preserve">долгосрочн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 xml:space="preserve">ый</w:t>
      </w:r>
      <w:r>
        <w:rPr>
          <w:color w:val="000000"/>
          <w:sz w:val="28"/>
          <w:szCs w:val="28"/>
        </w:rPr>
        <w:t xml:space="preserve"> контракт </w:t>
      </w:r>
      <w:r>
        <w:rPr>
          <w:color w:val="000000"/>
          <w:sz w:val="28"/>
          <w:szCs w:val="28"/>
        </w:rPr>
        <w:t xml:space="preserve">на выполнение </w:t>
      </w:r>
      <w:r>
        <w:rPr>
          <w:color w:val="000000"/>
          <w:sz w:val="28"/>
          <w:szCs w:val="28"/>
        </w:rPr>
        <w:t xml:space="preserve">работ по ремонту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участка автомобильной дороги Светлоград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Просянка</w:t>
      </w:r>
      <w:r>
        <w:rPr>
          <w:color w:val="000000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rPr>
          <w:color w:val="000000"/>
          <w:sz w:val="28"/>
          <w:szCs w:val="28"/>
        </w:rPr>
        <w:t xml:space="preserve">государственных и </w:t>
      </w:r>
      <w:r>
        <w:rPr>
          <w:color w:val="000000"/>
          <w:sz w:val="28"/>
          <w:szCs w:val="28"/>
        </w:rPr>
        <w:t xml:space="preserve">муниципальных нужд.</w:t>
      </w:r>
      <w:r>
        <w:t xml:space="preserve"> </w:t>
      </w:r>
      <w:r>
        <w:rPr>
          <w:color w:val="000000"/>
          <w:sz w:val="28"/>
          <w:szCs w:val="28"/>
        </w:rPr>
      </w:r>
    </w:p>
    <w:p>
      <w:pPr>
        <w:pStyle w:val="UserStyle_4"/>
        <w:spacing w:before="24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\l Par38  \o "УСЛОВИЯ"</w:instrTex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условия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долгосрочного муниципального контракта</w:t>
      </w:r>
      <w:r>
        <w:rPr>
          <w:color w:val="000000"/>
          <w:sz w:val="28"/>
          <w:szCs w:val="28"/>
        </w:rPr>
        <w:t xml:space="preserve"> согласно приложению</w:t>
      </w:r>
      <w:r>
        <w:rPr>
          <w:color w:val="000000"/>
          <w:sz w:val="28"/>
          <w:szCs w:val="28"/>
        </w:rPr>
        <w:t xml:space="preserve">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Опубликовать настоящее распоряжение в газете «Вестник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округа»</w:t>
      </w:r>
      <w:r>
        <w:rPr>
          <w:color w:val="000000"/>
          <w:sz w:val="28"/>
          <w:szCs w:val="28"/>
        </w:rPr>
        <w:t xml:space="preserve"> и разместить на сайте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color w:val="000000"/>
          <w:sz w:val="28"/>
          <w:szCs w:val="28"/>
        </w:rPr>
      </w:r>
    </w:p>
    <w:p>
      <w:pPr>
        <w:pStyle w:val="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</w:t>
      </w:r>
      <w:r>
        <w:rPr>
          <w:color w:val="222222"/>
          <w:sz w:val="28"/>
          <w:szCs w:val="28"/>
        </w:rPr>
        <w:t xml:space="preserve">Контроль за выполнением настоящего </w:t>
      </w:r>
      <w:r>
        <w:rPr>
          <w:color w:val="222222"/>
          <w:sz w:val="28"/>
          <w:szCs w:val="28"/>
        </w:rPr>
        <w:t xml:space="preserve">распоряжения</w:t>
      </w:r>
      <w:r>
        <w:rPr>
          <w:color w:val="222222"/>
          <w:sz w:val="28"/>
          <w:szCs w:val="28"/>
        </w:rPr>
        <w:t xml:space="preserve"> возложить на первого заместителя главы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color w:val="222222"/>
          <w:sz w:val="28"/>
          <w:szCs w:val="28"/>
        </w:rPr>
        <w:t xml:space="preserve"> Бабыкина А.И</w:t>
      </w:r>
      <w:r>
        <w:rPr>
          <w:color w:val="222222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Настоящее распоряжение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заключении долгосрочн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 xml:space="preserve">а» </w:t>
      </w:r>
      <w:r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 xml:space="preserve">подписания</w:t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spacing w:line="2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</w:t>
      </w:r>
      <w:r>
        <w:rPr>
          <w:rFonts w:eastAsia="Calibri"/>
          <w:sz w:val="28"/>
          <w:szCs w:val="28"/>
          <w:lang w:eastAsia="en-US"/>
        </w:rPr>
        <w:t xml:space="preserve"> Петровского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 </w:t>
      </w:r>
    </w:p>
    <w:p>
      <w:pPr>
        <w:pStyle w:val="Normal"/>
        <w:shd w:val="clear" w:color="auto" w:fill="ffffff"/>
        <w:spacing w:before="5"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   Н.В.Конкина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</w:rPr>
      </w:pPr>
      <w:r>
        <w:rPr>
          <w:sz w:val="28"/>
        </w:rPr>
      </w:r>
    </w:p>
    <w:p>
      <w:pPr>
        <w:pStyle w:val="UserStyle_2"/>
        <w:widowControl/>
        <w:spacing w:line="240" w:lineRule="exact"/>
        <w:ind w:right="0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распоряжения </w:t>
      </w:r>
      <w:r>
        <w:rPr>
          <w:rFonts w:ascii="Times New Roman" w:hAnsi="Times New Roman" w:eastAsia="Arial Unicode MS"/>
          <w:color w:val="ffffff"/>
          <w:sz w:val="28"/>
          <w:szCs w:val="28"/>
        </w:rPr>
        <w:t xml:space="preserve">вносит первый заместитель главы администрации Петровского </w:t>
      </w:r>
      <w:r>
        <w:rPr>
          <w:rFonts w:ascii="Times New Roman" w:hAnsi="Times New Roman" w:eastAsia="Arial Unicode MS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eastAsia="Arial Unicode MS"/>
          <w:color w:val="ffffff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color w:val="ffffff"/>
          <w:sz w:val="28"/>
          <w:szCs w:val="28"/>
        </w:rPr>
        <w:t xml:space="preserve">                                                                    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А.И.Бабыкин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</w:t>
      </w:r>
      <w:r>
        <w:rPr>
          <w:rFonts w:eastAsia="Calibri"/>
          <w:color w:val="ffffff"/>
          <w:sz w:val="28"/>
          <w:szCs w:val="28"/>
          <w:lang w:eastAsia="en-US"/>
        </w:rPr>
        <w:t xml:space="preserve">ачальник </w:t>
      </w:r>
      <w:r>
        <w:rPr>
          <w:rFonts w:eastAsia="Calibri"/>
          <w:color w:val="ffffff"/>
          <w:sz w:val="28"/>
          <w:szCs w:val="28"/>
          <w:lang w:eastAsia="en-US"/>
        </w:rPr>
        <w:t xml:space="preserve">финансового управления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</w:t>
      </w:r>
      <w:r>
        <w:rPr>
          <w:rFonts w:eastAsia="Calibri"/>
          <w:color w:val="ffffff"/>
          <w:sz w:val="28"/>
          <w:szCs w:val="28"/>
          <w:lang w:eastAsia="en-US"/>
        </w:rPr>
        <w:t xml:space="preserve"> </w:t>
      </w: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color w:val="ffffff"/>
          <w:sz w:val="28"/>
          <w:szCs w:val="28"/>
          <w:lang w:eastAsia="en-US"/>
        </w:rPr>
        <w:t xml:space="preserve"> округа</w:t>
      </w:r>
      <w:r>
        <w:rPr>
          <w:rFonts w:eastAsia="Calibri"/>
          <w:color w:val="ffffff"/>
          <w:sz w:val="28"/>
          <w:szCs w:val="28"/>
          <w:lang w:eastAsia="en-US"/>
        </w:rPr>
        <w:t xml:space="preserve">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         Е.С.Меркулова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</w:t>
      </w:r>
      <w:r>
        <w:rPr>
          <w:rFonts w:eastAsia="Calibri"/>
          <w:color w:val="ffffff"/>
          <w:sz w:val="28"/>
          <w:szCs w:val="28"/>
          <w:lang w:eastAsia="en-US"/>
        </w:rPr>
        <w:t xml:space="preserve">ачальник отдела </w:t>
      </w: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муниципальных закупок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color w:val="ffffff"/>
          <w:sz w:val="28"/>
          <w:szCs w:val="28"/>
          <w:lang w:eastAsia="en-US"/>
        </w:rPr>
        <w:t xml:space="preserve"> округа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 xml:space="preserve">    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                        А.А.Маринкевич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Начальник правового отдела </w:t>
      </w:r>
      <w:r>
        <w:rPr>
          <w:color w:val="ffffff"/>
          <w:sz w:val="28"/>
        </w:rPr>
        <w:t xml:space="preserve">администрации </w:t>
      </w:r>
      <w:r>
        <w:rPr>
          <w:color w:val="ffffff"/>
          <w:sz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Петровского </w:t>
      </w:r>
      <w:r>
        <w:rPr>
          <w:color w:val="ffffff"/>
          <w:sz w:val="28"/>
        </w:rPr>
        <w:t xml:space="preserve">муниципального</w:t>
      </w:r>
      <w:r>
        <w:rPr>
          <w:color w:val="ffffff"/>
          <w:sz w:val="28"/>
        </w:rPr>
        <w:t xml:space="preserve"> округа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</w:rPr>
        <w:t xml:space="preserve">Ставропольского края                                                                       О.А.Нехаенко</w:t>
      </w: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color w:val="ffffff"/>
          <w:sz w:val="28"/>
          <w:szCs w:val="28"/>
          <w:lang w:eastAsia="en-US"/>
        </w:rPr>
        <w:t xml:space="preserve"> </w:t>
      </w:r>
      <w:r>
        <w:rPr>
          <w:rFonts w:eastAsia="Calibri"/>
          <w:color w:val="ffffff"/>
          <w:sz w:val="28"/>
          <w:szCs w:val="28"/>
          <w:lang w:eastAsia="en-US"/>
        </w:rPr>
        <w:t xml:space="preserve">округа </w:t>
      </w: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        </w:t>
      </w:r>
      <w:r>
        <w:rPr>
          <w:rFonts w:eastAsia="Calibri"/>
          <w:color w:val="ffffff"/>
          <w:sz w:val="28"/>
          <w:szCs w:val="28"/>
          <w:lang w:eastAsia="en-US"/>
        </w:rPr>
        <w:t xml:space="preserve">     С.Н.Кулькина</w:t>
      </w:r>
    </w:p>
    <w:p>
      <w:pPr>
        <w:pStyle w:val="Normal"/>
        <w:shd w:val="clear" w:color="auto" w:fill="ffffff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hd w:val="clear" w:color="auto" w:fill="ffffff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Управляющий делами администрации </w:t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</w:rPr>
        <w:t xml:space="preserve">Ставропольского края                                                                       Ю.В.Петрич</w:t>
      </w: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="240" w:lineRule="exact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подготовлен </w:t>
      </w:r>
      <w:r>
        <w:rPr>
          <w:color w:val="ffffff"/>
          <w:sz w:val="28"/>
          <w:szCs w:val="28"/>
        </w:rPr>
        <w:t xml:space="preserve">управлением муниципального хозяйства</w:t>
      </w:r>
      <w:r>
        <w:rPr>
          <w:color w:val="ffffff"/>
          <w:sz w:val="28"/>
          <w:szCs w:val="28"/>
        </w:rPr>
        <w:t xml:space="preserve">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Ставропольского края </w:t>
      </w:r>
    </w:p>
    <w:p>
      <w:pPr>
        <w:pStyle w:val="Normal"/>
        <w:spacing w:line="240" w:lineRule="exact"/>
        <w:jc w:val="both"/>
        <w:rPr>
          <w:color w:val="ffffff"/>
          <w:sz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         </w:t>
      </w:r>
      <w:r>
        <w:rPr>
          <w:color w:val="ffffff"/>
          <w:sz w:val="28"/>
          <w:szCs w:val="28"/>
        </w:rPr>
        <w:t xml:space="preserve">   </w:t>
      </w:r>
      <w:r>
        <w:rPr>
          <w:color w:val="ffffff"/>
          <w:sz w:val="28"/>
          <w:szCs w:val="28"/>
        </w:rPr>
        <w:t xml:space="preserve">Е.В.Портянко</w:t>
      </w:r>
      <w:r>
        <w:rPr>
          <w:color w:val="ffffff"/>
          <w:sz w:val="28"/>
        </w:rPr>
      </w:r>
    </w:p>
    <w:p>
      <w:pPr>
        <w:pStyle w:val="Normal"/>
        <w:spacing w:line="240" w:lineRule="exact"/>
        <w:ind w:left="-1418" w:right="1608"/>
        <w:jc w:val="both"/>
        <w:rPr>
          <w:color w:val="ffffff"/>
          <w:sz w:val="28"/>
        </w:rPr>
        <w:sectPr>
          <w:type w:val="nextPage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r>
        <w:rPr>
          <w:color w:val="ffffff"/>
          <w:sz w:val="28"/>
        </w:rPr>
      </w:r>
    </w:p>
    <w:tbl>
      <w:tblPr>
        <w:tblW w:w="13954" w:type="dxa"/>
        <w:tblInd w:w="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851"/>
        <w:gridCol w:w="5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85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6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85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16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510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spacing w:before="5"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 xml:space="preserve">р</w:t>
            </w:r>
            <w:r>
              <w:rPr>
                <w:color w:val="000000"/>
                <w:sz w:val="28"/>
                <w:szCs w:val="28"/>
              </w:rPr>
              <w:t xml:space="preserve">аспоряжени</w:t>
            </w:r>
            <w:r>
              <w:rPr>
                <w:color w:val="000000"/>
                <w:sz w:val="28"/>
                <w:szCs w:val="28"/>
              </w:rPr>
              <w:t xml:space="preserve">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администрации</w:t>
            </w:r>
            <w:r>
              <w:rPr>
                <w:color w:val="000000"/>
                <w:sz w:val="28"/>
                <w:szCs w:val="28"/>
              </w:rPr>
              <w:t xml:space="preserve"> Петровского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</w:t>
            </w:r>
            <w:r>
              <w:rPr>
                <w:color w:val="000000"/>
                <w:sz w:val="28"/>
                <w:szCs w:val="28"/>
              </w:rPr>
              <w:t xml:space="preserve"> округа</w:t>
            </w:r>
          </w:p>
          <w:p>
            <w:pPr>
              <w:pStyle w:val="Normal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Ставропольского края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от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ind w:left="993" w:right="1608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UserStyle_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</w:t>
      </w:r>
      <w:r>
        <w:rPr>
          <w:sz w:val="28"/>
          <w:szCs w:val="28"/>
        </w:rPr>
        <w:t xml:space="preserve"> долгосрочн</w:t>
      </w:r>
      <w:r>
        <w:rPr>
          <w:sz w:val="28"/>
          <w:szCs w:val="28"/>
        </w:rPr>
        <w:t xml:space="preserve">ого муниципального</w:t>
      </w:r>
      <w:r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</w:p>
    <w:p>
      <w:pPr>
        <w:pStyle w:val="Normal"/>
        <w:tabs>
          <w:tab w:val="left" w:pos="12616" w:leader="none"/>
        </w:tabs>
        <w:spacing w:line="240" w:lineRule="exact"/>
        <w:ind w:left="1418" w:right="16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317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4961"/>
        <w:gridCol w:w="2977"/>
        <w:gridCol w:w="5812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extDirection w:val="lrTb"/>
            <w:vAlign w:val="top"/>
          </w:tcPr>
          <w:p>
            <w:pPr>
              <w:pStyle w:val="UserStyle_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>
              <w:rPr>
                <w:szCs w:val="28"/>
              </w:rPr>
              <w:t xml:space="preserve"> п/п</w:t>
            </w:r>
          </w:p>
        </w:tc>
        <w:tc>
          <w:tcPr>
            <w:tcW w:w="4961" w:type="dxa"/>
            <w:textDirection w:val="lrTb"/>
            <w:vAlign w:val="top"/>
          </w:tcPr>
          <w:p>
            <w:pPr>
              <w:pStyle w:val="UserStyle_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объекта закупки</w:t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UserStyle_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 xml:space="preserve">условия</w:t>
            </w:r>
            <w:r>
              <w:rPr>
                <w:szCs w:val="28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UserStyle_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Содержание </w:t>
            </w:r>
            <w:r>
              <w:rPr>
                <w:szCs w:val="28"/>
              </w:rPr>
              <w:t xml:space="preserve">условия</w:t>
            </w:r>
            <w:r>
              <w:rPr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vMerge w:val="restart"/>
            <w:textDirection w:val="lrTb"/>
            <w:vAlign w:val="top"/>
          </w:tcPr>
          <w:p>
            <w:pPr>
              <w:pStyle w:val="Normal"/>
              <w:tabs>
                <w:tab w:val="left" w:pos="0" w:leader="none"/>
                <w:tab w:val="left" w:pos="12616" w:leader="none"/>
              </w:tabs>
              <w:spacing w:line="240" w:lineRule="exact"/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</w:p>
        </w:tc>
        <w:tc>
          <w:tcPr>
            <w:tcW w:w="4961" w:type="dxa"/>
            <w:vMerge w:val="restart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3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</w:t>
            </w:r>
            <w:r>
              <w:rPr>
                <w:color w:val="000000"/>
                <w:szCs w:val="28"/>
              </w:rPr>
              <w:t xml:space="preserve">ыполнение работ</w:t>
            </w:r>
            <w:r>
              <w:rPr>
                <w:color w:val="000000"/>
                <w:szCs w:val="28"/>
              </w:rPr>
            </w:r>
          </w:p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3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 ремонту участка</w:t>
            </w:r>
            <w:r>
              <w:rPr>
                <w:color w:val="000000"/>
                <w:szCs w:val="28"/>
              </w:rPr>
            </w:r>
          </w:p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3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автомобильной дороги</w:t>
            </w:r>
            <w:r>
              <w:rPr>
                <w:color w:val="000000"/>
                <w:szCs w:val="28"/>
              </w:rPr>
            </w:r>
          </w:p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33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Светлоград-Просянка</w:t>
            </w:r>
            <w:r>
              <w:rPr>
                <w:szCs w:val="28"/>
              </w:rPr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6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ланируемые результаты </w:t>
            </w:r>
            <w:r>
              <w:rPr>
                <w:szCs w:val="28"/>
              </w:rPr>
              <w:t xml:space="preserve">выполнения работ</w:t>
            </w:r>
            <w:r>
              <w:rPr>
                <w:szCs w:val="28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jc w:val="both"/>
              <w:rPr>
                <w:szCs w:val="28"/>
              </w:rPr>
            </w:pPr>
            <w:r>
              <w:t xml:space="preserve">П</w:t>
            </w:r>
            <w:r>
              <w:t xml:space="preserve">рирост протяженности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  <w:r>
              <w:t xml:space="preserve"> </w:t>
            </w:r>
            <w:r>
              <w:rPr>
                <w:szCs w:val="28"/>
              </w:rPr>
              <w:t xml:space="preserve">– </w:t>
            </w:r>
            <w:r>
              <w:rPr>
                <w:color w:val="000000"/>
                <w:szCs w:val="28"/>
              </w:rPr>
              <w:t xml:space="preserve">6,00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километр</w:t>
            </w:r>
            <w:r>
              <w:rPr>
                <w:szCs w:val="28"/>
              </w:rPr>
              <w:t xml:space="preserve">ов</w:t>
            </w:r>
            <w:r>
              <w:rPr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vMerge w:val="continue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160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961" w:type="dxa"/>
            <w:vMerge w:val="continue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160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3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</w:t>
            </w:r>
            <w:r>
              <w:rPr>
                <w:szCs w:val="28"/>
              </w:rPr>
              <w:t xml:space="preserve">рок осуществления закупки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</w:rPr>
              <w:t xml:space="preserve"> г.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vMerge w:val="continue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160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961" w:type="dxa"/>
            <w:vMerge w:val="continue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160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редельный объем средств на оплату результатов </w:t>
            </w:r>
            <w:r>
              <w:rPr>
                <w:szCs w:val="28"/>
              </w:rPr>
              <w:t xml:space="preserve">выполненных</w:t>
            </w:r>
            <w:r>
              <w:rPr>
                <w:szCs w:val="28"/>
              </w:rPr>
              <w:t xml:space="preserve"> работ </w:t>
            </w:r>
            <w:r>
              <w:rPr>
                <w:szCs w:val="28"/>
              </w:rPr>
              <w:t xml:space="preserve">с разбивкой по годам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tabs>
                <w:tab w:val="left" w:pos="3436" w:leader="none"/>
                <w:tab w:val="left" w:pos="12616" w:leader="none"/>
              </w:tabs>
              <w:spacing w:line="240" w:lineRule="exact"/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177 928 880,00</w:t>
            </w:r>
            <w:r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 xml:space="preserve"> за счет средств бюджета </w:t>
            </w:r>
            <w:r>
              <w:rPr>
                <w:szCs w:val="28"/>
              </w:rPr>
              <w:t xml:space="preserve">Ставропольского края и </w:t>
            </w:r>
            <w:r>
              <w:rPr>
                <w:szCs w:val="28"/>
              </w:rPr>
              <w:t xml:space="preserve">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</w:r>
          </w:p>
          <w:p>
            <w:pPr>
              <w:pStyle w:val="Normal"/>
              <w:tabs>
                <w:tab w:val="left" w:pos="3436" w:leader="none"/>
                <w:tab w:val="left" w:pos="12616" w:leader="none"/>
              </w:tabs>
              <w:spacing w:line="240" w:lineRule="exact"/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том числе по годам:</w:t>
            </w:r>
          </w:p>
          <w:p>
            <w:pPr>
              <w:pStyle w:val="Normal"/>
              <w:tabs>
                <w:tab w:val="left" w:pos="3436" w:leader="none"/>
                <w:tab w:val="left" w:pos="12616" w:leader="none"/>
              </w:tabs>
              <w:spacing w:line="240" w:lineRule="exact"/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 год </w:t>
            </w:r>
            <w:r>
              <w:rPr>
                <w:szCs w:val="28"/>
              </w:rPr>
              <w:t xml:space="preserve">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78 028 880,00</w:t>
            </w:r>
            <w:r>
              <w:rPr>
                <w:szCs w:val="28"/>
              </w:rPr>
              <w:t xml:space="preserve"> рублей;</w:t>
            </w:r>
          </w:p>
          <w:p>
            <w:pPr>
              <w:pStyle w:val="Normal"/>
              <w:tabs>
                <w:tab w:val="left" w:pos="3436" w:leader="none"/>
                <w:tab w:val="left" w:pos="12616" w:leader="none"/>
              </w:tabs>
              <w:spacing w:line="240" w:lineRule="exact"/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</w:t>
            </w: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  <w:t xml:space="preserve"> год </w:t>
            </w:r>
            <w:r>
              <w:rPr>
                <w:szCs w:val="28"/>
              </w:rPr>
              <w:t xml:space="preserve">–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99 900 000,00</w:t>
            </w:r>
            <w:r>
              <w:rPr>
                <w:szCs w:val="28"/>
              </w:rPr>
              <w:t xml:space="preserve"> рублей</w:t>
            </w:r>
            <w:r>
              <w:rPr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vMerge w:val="continue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160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961" w:type="dxa"/>
            <w:vMerge w:val="continue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160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77" w:type="dxa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редельный срок </w:t>
            </w:r>
            <w:r>
              <w:rPr>
                <w:szCs w:val="28"/>
              </w:rPr>
              <w:t xml:space="preserve">выполнения работ</w:t>
            </w:r>
            <w:r>
              <w:rPr>
                <w:szCs w:val="28"/>
              </w:rPr>
              <w:t xml:space="preserve"> с учетом сроков, необходимых для определения </w:t>
            </w:r>
            <w:r>
              <w:rPr>
                <w:szCs w:val="28"/>
              </w:rPr>
              <w:t xml:space="preserve">подрядчиков</w:t>
            </w:r>
            <w:r>
              <w:rPr>
                <w:szCs w:val="28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160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tabs>
                <w:tab w:val="left" w:pos="12616" w:leader="none"/>
              </w:tabs>
              <w:spacing w:line="240" w:lineRule="exact"/>
              <w:ind w:right="1608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tabs>
                <w:tab w:val="left" w:pos="12616" w:leader="none"/>
              </w:tabs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-202</w:t>
            </w:r>
            <w:r>
              <w:rPr>
                <w:szCs w:val="28"/>
              </w:rPr>
              <w:t xml:space="preserve">6</w:t>
            </w:r>
            <w:r>
              <w:rPr>
                <w:szCs w:val="28"/>
              </w:rPr>
              <w:t xml:space="preserve"> годы</w:t>
            </w:r>
          </w:p>
        </w:tc>
      </w:tr>
    </w:tbl>
    <w:p>
      <w:pPr>
        <w:pStyle w:val="Normal"/>
        <w:tabs>
          <w:tab w:val="left" w:pos="12616" w:leader="none"/>
        </w:tabs>
        <w:spacing w:line="240" w:lineRule="exact"/>
        <w:ind w:left="1418" w:right="16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</w:pP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Управляющий делами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</w:t>
      </w:r>
      <w:r>
        <w:rPr>
          <w:rFonts w:eastAsia="Calibri"/>
          <w:sz w:val="28"/>
          <w:szCs w:val="28"/>
          <w:lang w:eastAsia="en-US"/>
        </w:rPr>
        <w:t xml:space="preserve">муниципального</w:t>
      </w:r>
      <w:r>
        <w:rPr>
          <w:rFonts w:eastAsia="Calibri"/>
          <w:sz w:val="28"/>
          <w:szCs w:val="28"/>
          <w:lang w:eastAsia="en-US"/>
        </w:rPr>
        <w:t xml:space="preserve"> округа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Ю.В.Петрич</w:t>
      </w:r>
    </w:p>
    <w:sectPr>
      <w:type w:val="nextPage"/>
      <w:pgSz w:w="16838" w:h="11906" w:orient="landscape"/>
      <w:pgMar w:top="1843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next w:val="Hyperlink"/>
    <w:link w:val="Normal"/>
    <w:semiHidden/>
    <w:unhideWhenUsed/>
    <w:rPr>
      <w:color w:val="0000ff"/>
      <w:u w:val="single"/>
    </w:rPr>
  </w:style>
  <w:style w:type="paragraph" w:styleId="Title">
    <w:name w:val="Название"/>
    <w:basedOn w:val="Normal"/>
    <w:next w:val="Title"/>
    <w:link w:val="UserStyle_0"/>
    <w:qFormat/>
    <w:pPr>
      <w:jc w:val="center"/>
    </w:pPr>
    <w:rPr>
      <w:b/>
      <w:bCs/>
      <w:sz w:val="28"/>
      <w:lang w:val="en-US"/>
    </w:rPr>
  </w:style>
  <w:style w:type="character" w:styleId="UserStyle_0">
    <w:name w:val="Название Знак"/>
    <w:next w:val="UserStyle_0"/>
    <w:link w:val="Title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User">
    <w:name w:val="Без интервала"/>
    <w:next w:val="User"/>
    <w:link w:val="Normal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UserStyle_1">
    <w:name w:val="ConsTitle"/>
    <w:next w:val="UserStyle_1"/>
    <w:link w:val="Normal"/>
    <w:pPr>
      <w:widowControl w:val="off"/>
    </w:pPr>
    <w:rPr>
      <w:rFonts w:ascii="Arial" w:hAnsi="Arial" w:eastAsia="Times New Roman"/>
      <w:b/>
      <w:sz w:val="16"/>
      <w:lang w:val="ru-RU" w:eastAsia="ru-RU" w:bidi="ar-SA"/>
    </w:rPr>
  </w:style>
  <w:style w:type="paragraph" w:styleId="UserStyle_2">
    <w:name w:val="ConsNonformat"/>
    <w:next w:val="UserStyle_2"/>
    <w:link w:val="Normal"/>
    <w:pPr>
      <w:widowControl w:val="off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iPriority w:val="99"/>
    <w:semiHidden/>
    <w:unhideWhenUsed/>
    <w:rPr>
      <w:rFonts w:ascii="Segoe UI" w:hAnsi="Segoe UI"/>
      <w:sz w:val="18"/>
      <w:szCs w:val="18"/>
      <w:lang w:val="en-US" w:eastAsia="en-US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UserStyle_4">
    <w:name w:val="ConsPlusNormal"/>
    <w:next w:val="UserStyle_4"/>
    <w:link w:val="Normal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UserStyle_5">
    <w:name w:val="ConsPlusTitle"/>
    <w:next w:val="UserStyle_5"/>
    <w:link w:val="Normal"/>
    <w:uiPriority w:val="99"/>
    <w:pPr>
      <w:widowControl w:val="off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6">
    <w:name w:val="ConsPlusNonformat"/>
    <w:next w:val="UserStyle_6"/>
    <w:link w:val="Normal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Header">
    <w:name w:val="Верхний колонтитул"/>
    <w:basedOn w:val="Normal"/>
    <w:next w:val="Header"/>
    <w:link w:val="UserStyle_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Верхний колонтитул Знак"/>
    <w:next w:val="UserStyle_7"/>
    <w:link w:val="Header"/>
    <w:uiPriority w:val="99"/>
    <w:rPr>
      <w:rFonts w:ascii="Times New Roman" w:hAnsi="Times New Roman" w:eastAsia="Times New Roman"/>
      <w:sz w:val="24"/>
      <w:szCs w:val="24"/>
    </w:rPr>
  </w:style>
  <w:style w:type="paragraph" w:styleId="Footer">
    <w:name w:val="Нижний колонтитул"/>
    <w:basedOn w:val="Normal"/>
    <w:next w:val="Footer"/>
    <w:link w:val="UserStyle_8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8">
    <w:name w:val="Нижний колонтитул Знак"/>
    <w:next w:val="UserStyle_8"/>
    <w:link w:val="Footer"/>
    <w:uiPriority w:val="99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4186</Characters>
  <CharactersWithSpaces>4911</CharactersWithSpaces>
  <DocSecurity>0</DocSecurity>
  <HyperlinksChanged>false</HyperlinksChanged>
  <Lines>34</Lines>
  <Pages>3</Pages>
  <Paragraphs>9</Paragraphs>
  <ScaleCrop>false</ScaleCrop>
  <SharedDoc>false</SharedDoc>
  <Template>Normal</Template>
  <Words>734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seryak</cp:lastModifiedBy>
  <cp:revision>2</cp:revision>
  <dcterms:created xsi:type="dcterms:W3CDTF">2024-07-04T06:25:00Z</dcterms:created>
  <dcterms:modified xsi:type="dcterms:W3CDTF">2024-07-04T06:25:00Z</dcterms:modified>
  <cp:version>917504</cp:version>
</cp:coreProperties>
</file>