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jc w:val="center"/>
        <w:rPr>
          <w:b/>
          <w:szCs w:val="28"/>
        </w:rPr>
      </w:pPr>
      <w:r>
        <w:rPr>
          <w:b/>
          <w:caps/>
          <w:szCs w:val="28"/>
        </w:rPr>
        <w:t xml:space="preserve">территориальная ИЗБИРАТЕЛЬНая КОМИССИя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19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ПЕТРОВСКОГО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4"/>
        <w:numPr>
          <w:ilvl w:val="6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1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1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5"/>
        <w:spacing w:before="0" w:after="0"/>
        <w:rPr>
          <w:vertAlign w:val="superscript"/>
        </w:rPr>
      </w:pPr>
      <w:r>
        <w:rPr>
          <w:shd w:val="clear" w:color="auto" w:fill="auto"/>
        </w:rPr>
        <w:t xml:space="preserve">01 </w:t>
      </w:r>
      <w:r>
        <w:rPr>
          <w:rFonts w:eastAsia="Times New Roman" w:cs="Times New Roman"/>
          <w:color w:val="000000"/>
          <w:sz w:val="28"/>
          <w:szCs w:val="20"/>
          <w:lang w:val="ru-RU" w:eastAsia="zh-CN" w:bidi="ar-SA"/>
        </w:rPr>
        <w:t xml:space="preserve">июля</w:t>
      </w:r>
      <w:r>
        <w:t xml:space="preserve"> 2024 года </w:t>
        <w:tab/>
        <w:tab/>
        <w:tab/>
        <w:t xml:space="preserve">   г.Светлоград</w:t>
        <w:tab/>
        <w:t xml:space="preserve">                    </w:t>
        <w:tab/>
        <w:t xml:space="preserve">№ </w:t>
      </w:r>
      <w:r>
        <w:rPr>
          <w:shd w:val="clear" w:color="auto" w:fill="auto"/>
        </w:rPr>
        <w:t xml:space="preserve">70/502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619"/>
        <w:rPr>
          <w:vertAlign w:val="superscript"/>
        </w:rPr>
      </w:pPr>
      <w:r>
        <w:rPr>
          <w:vertAlign w:val="superscript"/>
        </w:rPr>
      </w:r>
      <w:r>
        <w:rPr>
          <w:vertAlign w:val="superscript"/>
        </w:rPr>
      </w:r>
    </w:p>
    <w:p>
      <w:pPr>
        <w:pStyle w:val="619"/>
        <w:ind w:right="-63"/>
        <w:jc w:val="both"/>
      </w:pPr>
      <w:r>
        <w:t xml:space="preserve">О согласовании </w:t>
      </w:r>
      <w:r>
        <w:rPr>
          <w:szCs w:val="28"/>
        </w:rPr>
        <w:t xml:space="preserve">изменений в список избирательных участков, участков референдума, образованных </w:t>
      </w:r>
      <w:r>
        <w:t xml:space="preserve">на территории Петровского района Ставропольского края</w:t>
      </w:r>
      <w:r/>
    </w:p>
    <w:p>
      <w:pPr>
        <w:pStyle w:val="619"/>
        <w:ind w:right="4110"/>
      </w:pPr>
      <w:r/>
      <w:r/>
    </w:p>
    <w:p>
      <w:pPr>
        <w:pStyle w:val="619"/>
        <w:ind w:right="4110" w:firstLine="540"/>
      </w:pPr>
      <w:r/>
      <w:r/>
    </w:p>
    <w:p>
      <w:pPr>
        <w:pStyle w:val="619"/>
        <w:ind w:right="-1" w:firstLine="540"/>
        <w:jc w:val="both"/>
        <w:rPr>
          <w:szCs w:val="28"/>
          <w:vertAlign w:val="superscript"/>
        </w:rPr>
      </w:pPr>
      <w:r>
        <w:rPr>
          <w:szCs w:val="28"/>
        </w:rPr>
        <w:t xml:space="preserve">В соответствии с подпунктом «д» пункта 2.1 статьи 19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в целях соблюдения </w:t>
      </w:r>
      <w:r>
        <w:rPr>
          <w:rStyle w:val="652"/>
          <w:bCs/>
          <w:color w:val="000000"/>
          <w:spacing w:val="-3"/>
          <w:sz w:val="28"/>
          <w:szCs w:val="28"/>
        </w:rPr>
        <w:t xml:space="preserve">Требований к помещениям, предоставляемым для размещен</w:t>
      </w:r>
      <w:r>
        <w:rPr>
          <w:rStyle w:val="652"/>
          <w:bCs/>
          <w:color w:val="000000"/>
          <w:spacing w:val="-3"/>
          <w:sz w:val="28"/>
          <w:szCs w:val="28"/>
        </w:rPr>
        <w:t xml:space="preserve">ия территориальных, участковых избирательных комиссий, к помещениям для голосования при проведении выборов, референдумов на территории Ставропольского края, утвержденных постановлением избирательной комиссии Ставропольского края от 27.05.2014 № 109/1119-5,</w:t>
      </w:r>
      <w:r>
        <w:rPr>
          <w:rStyle w:val="652"/>
          <w:sz w:val="28"/>
          <w:szCs w:val="28"/>
        </w:rPr>
        <w:t xml:space="preserve"> </w:t>
      </w:r>
      <w:r>
        <w:rPr>
          <w:szCs w:val="28"/>
        </w:rPr>
        <w:t xml:space="preserve">территориальная избирательная комиссия Петровского района </w:t>
      </w:r>
      <w:r>
        <w:rPr>
          <w:szCs w:val="28"/>
          <w:vertAlign w:val="superscript"/>
        </w:rPr>
      </w:r>
      <w:r>
        <w:rPr>
          <w:szCs w:val="28"/>
          <w:vertAlign w:val="superscript"/>
        </w:rPr>
      </w:r>
    </w:p>
    <w:p>
      <w:pPr>
        <w:pStyle w:val="619"/>
        <w:ind w:right="-1" w:firstLine="540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</w:r>
      <w:r>
        <w:rPr>
          <w:szCs w:val="28"/>
          <w:vertAlign w:val="superscript"/>
        </w:rPr>
      </w:r>
    </w:p>
    <w:p>
      <w:pPr>
        <w:pStyle w:val="655"/>
        <w:ind w:right="0" w:firstLine="540"/>
        <w:widowControl w:val="off"/>
        <w:rPr>
          <w:caps/>
          <w:sz w:val="28"/>
          <w:szCs w:val="28"/>
          <w:vertAlign w:val="superscript"/>
        </w:rPr>
      </w:pPr>
      <w:r>
        <w:rPr>
          <w:caps/>
          <w:sz w:val="28"/>
          <w:szCs w:val="28"/>
          <w:vertAlign w:val="superscript"/>
        </w:rPr>
      </w:r>
      <w:r>
        <w:rPr>
          <w:caps/>
          <w:sz w:val="28"/>
          <w:szCs w:val="28"/>
          <w:vertAlign w:val="superscript"/>
        </w:rPr>
      </w:r>
    </w:p>
    <w:p>
      <w:pPr>
        <w:pStyle w:val="655"/>
        <w:ind w:right="0" w:firstLine="540"/>
        <w:widowControl w:val="off"/>
        <w:rPr>
          <w:caps/>
          <w:color w:val="ff0000"/>
          <w:szCs w:val="28"/>
        </w:rPr>
      </w:pPr>
      <w:r>
        <w:rPr>
          <w:caps/>
          <w:sz w:val="28"/>
          <w:szCs w:val="28"/>
        </w:rPr>
        <w:t xml:space="preserve">постановляет:</w:t>
      </w:r>
      <w:r>
        <w:rPr>
          <w:caps/>
          <w:color w:val="ff0000"/>
          <w:szCs w:val="28"/>
        </w:rPr>
      </w:r>
      <w:r>
        <w:rPr>
          <w:caps/>
          <w:color w:val="ff0000"/>
          <w:szCs w:val="28"/>
        </w:rPr>
      </w:r>
    </w:p>
    <w:p>
      <w:pPr>
        <w:pStyle w:val="619"/>
        <w:ind w:right="0" w:firstLine="851"/>
        <w:jc w:val="both"/>
        <w:rPr>
          <w:caps/>
          <w:color w:val="ff0000"/>
          <w:szCs w:val="28"/>
        </w:rPr>
      </w:pPr>
      <w:r>
        <w:rPr>
          <w:caps/>
          <w:color w:val="ff0000"/>
          <w:szCs w:val="28"/>
        </w:rPr>
      </w:r>
      <w:r>
        <w:rPr>
          <w:caps/>
          <w:color w:val="ff0000"/>
          <w:szCs w:val="28"/>
        </w:rPr>
      </w:r>
    </w:p>
    <w:p>
      <w:pPr>
        <w:pStyle w:val="619"/>
        <w:ind w:right="0" w:firstLine="539"/>
        <w:jc w:val="both"/>
        <w:spacing w:line="240" w:lineRule="auto"/>
        <w:shd w:val="clear" w:color="auto" w:fill="ffffff"/>
      </w:pPr>
      <w:r>
        <w:t xml:space="preserve">1. Согласовать</w:t>
      </w:r>
      <w:r>
        <w:rPr>
          <w:szCs w:val="28"/>
        </w:rPr>
        <w:t xml:space="preserve"> изменения, вносимые в список избирательных участков, участков референдума, образованных </w:t>
      </w:r>
      <w:r>
        <w:t xml:space="preserve">на территории Петровского района Ставропольского края </w:t>
      </w:r>
      <w:r>
        <w:rPr>
          <w:szCs w:val="28"/>
        </w:rPr>
        <w:t xml:space="preserve">постановлен</w:t>
      </w:r>
      <w:r>
        <w:rPr>
          <w:szCs w:val="28"/>
        </w:rPr>
        <w:t xml:space="preserve">ием администрации Петровского муниципального района Ставропольского края от 24 декабря 2012 года                    № 1475 «Об образовании избирательных участков, участков референдума на территории Петровского района Ставропольского края» (с изменениями), </w:t>
      </w:r>
      <w:r>
        <w:t xml:space="preserve">прилагаемые к настоящему постановлению.</w:t>
      </w:r>
      <w:r/>
    </w:p>
    <w:p>
      <w:pPr>
        <w:pStyle w:val="619"/>
        <w:ind w:right="0" w:firstLine="539"/>
        <w:jc w:val="both"/>
        <w:spacing w:line="240" w:lineRule="auto"/>
      </w:pPr>
      <w:r>
        <w:t xml:space="preserve">2. Настоящее постановление вступает в силу с момента его принятия.</w:t>
      </w:r>
      <w:r/>
    </w:p>
    <w:p>
      <w:pPr>
        <w:pStyle w:val="619"/>
        <w:ind w:right="0" w:firstLine="539"/>
        <w:jc w:val="both"/>
        <w:spacing w:line="240" w:lineRule="auto"/>
      </w:pPr>
      <w:r/>
      <w:r/>
    </w:p>
    <w:p>
      <w:pPr>
        <w:pStyle w:val="625"/>
        <w:numPr>
          <w:ilvl w:val="7"/>
          <w:numId w:val="1"/>
        </w:numPr>
        <w:ind w:left="0" w:firstLine="0"/>
        <w:spacing w:line="240" w:lineRule="auto"/>
        <w:rPr>
          <w:i/>
          <w:szCs w:val="28"/>
          <w:vertAlign w:val="superscript"/>
        </w:rPr>
      </w:pPr>
      <w:r>
        <w:rPr>
          <w:i w:val="0"/>
          <w:sz w:val="28"/>
          <w:szCs w:val="28"/>
        </w:rPr>
        <w:t xml:space="preserve">Председатель</w:t>
        <w:tab/>
        <w:tab/>
        <w:tab/>
        <w:tab/>
        <w:tab/>
        <w:tab/>
        <w:tab/>
        <w:tab/>
        <w:t xml:space="preserve">Ю.В.Петрич</w:t>
      </w:r>
      <w:r>
        <w:rPr>
          <w:i/>
          <w:szCs w:val="28"/>
          <w:vertAlign w:val="superscript"/>
        </w:rPr>
      </w:r>
      <w:r>
        <w:rPr>
          <w:i/>
          <w:szCs w:val="28"/>
          <w:vertAlign w:val="superscript"/>
        </w:rPr>
      </w:r>
    </w:p>
    <w:p>
      <w:pPr>
        <w:pStyle w:val="619"/>
        <w:jc w:val="both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</w:r>
      <w:r>
        <w:rPr>
          <w:i/>
          <w:szCs w:val="28"/>
          <w:vertAlign w:val="superscript"/>
        </w:rPr>
      </w:r>
    </w:p>
    <w:p>
      <w:pPr>
        <w:pStyle w:val="619"/>
        <w:jc w:val="both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</w:r>
      <w:r>
        <w:rPr>
          <w:i/>
          <w:szCs w:val="28"/>
          <w:vertAlign w:val="superscript"/>
        </w:rPr>
      </w:r>
    </w:p>
    <w:p>
      <w:pPr>
        <w:pStyle w:val="619"/>
        <w:jc w:val="both"/>
        <w:tabs>
          <w:tab w:val="left" w:pos="426" w:leader="none"/>
        </w:tabs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</w:r>
      <w:r>
        <w:rPr>
          <w:i/>
          <w:szCs w:val="28"/>
          <w:vertAlign w:val="superscript"/>
        </w:rPr>
      </w:r>
    </w:p>
    <w:p>
      <w:pPr>
        <w:pStyle w:val="619"/>
        <w:jc w:val="both"/>
        <w:tabs>
          <w:tab w:val="left" w:pos="426" w:leader="none"/>
        </w:tabs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</w:r>
      <w:r>
        <w:rPr>
          <w:i/>
          <w:szCs w:val="28"/>
          <w:vertAlign w:val="superscript"/>
        </w:rPr>
      </w:r>
    </w:p>
    <w:p>
      <w:pPr>
        <w:pStyle w:val="619"/>
        <w:jc w:val="both"/>
        <w:tabs>
          <w:tab w:val="left" w:pos="426" w:leader="none"/>
        </w:tabs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</w:r>
      <w:r>
        <w:rPr>
          <w:i/>
          <w:szCs w:val="28"/>
          <w:vertAlign w:val="superscript"/>
        </w:rPr>
      </w:r>
    </w:p>
    <w:p>
      <w:pPr>
        <w:pStyle w:val="619"/>
        <w:jc w:val="both"/>
        <w:tabs>
          <w:tab w:val="left" w:pos="426" w:leader="none"/>
        </w:tabs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</w:r>
      <w:r>
        <w:rPr>
          <w:i/>
          <w:szCs w:val="28"/>
          <w:vertAlign w:val="superscript"/>
        </w:rPr>
      </w:r>
    </w:p>
    <w:p>
      <w:pPr>
        <w:pStyle w:val="619"/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  <w:t xml:space="preserve">Секретарь </w:t>
        <w:tab/>
        <w:tab/>
        <w:tab/>
        <w:tab/>
        <w:tab/>
        <w:tab/>
        <w:tab/>
        <w:tab/>
        <w:tab/>
        <w:t xml:space="preserve">О.В.Сыроватко</w:t>
      </w:r>
      <w:r>
        <w:rPr>
          <w:szCs w:val="28"/>
        </w:rPr>
      </w:r>
      <w:r>
        <w:rPr>
          <w:szCs w:val="28"/>
        </w:rPr>
      </w:r>
    </w:p>
    <w:p>
      <w:pPr>
        <w:pStyle w:val="619"/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9"/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9"/>
        <w:jc w:val="right"/>
        <w:tabs>
          <w:tab w:val="left" w:pos="426" w:leader="none"/>
        </w:tabs>
        <w:rPr>
          <w:szCs w:val="28"/>
        </w:rPr>
      </w:pPr>
      <w:r>
        <w:rPr>
          <w:szCs w:val="28"/>
        </w:rPr>
        <w:t xml:space="preserve">ПРИЛОЖЕНИЕ</w:t>
      </w:r>
      <w:r>
        <w:rPr>
          <w:szCs w:val="28"/>
        </w:rPr>
      </w:r>
      <w:r>
        <w:rPr>
          <w:szCs w:val="28"/>
        </w:rPr>
      </w:r>
    </w:p>
    <w:p>
      <w:pPr>
        <w:pStyle w:val="619"/>
        <w:jc w:val="right"/>
        <w:tabs>
          <w:tab w:val="left" w:pos="426" w:leader="none"/>
        </w:tabs>
      </w:pPr>
      <w:r>
        <w:rPr>
          <w:szCs w:val="28"/>
        </w:rPr>
        <w:t xml:space="preserve">к постановлению ТИК Петровского района</w:t>
      </w:r>
      <w:r/>
    </w:p>
    <w:p>
      <w:pPr>
        <w:pStyle w:val="619"/>
        <w:jc w:val="right"/>
        <w:tabs>
          <w:tab w:val="left" w:pos="426" w:leader="none"/>
        </w:tabs>
      </w:pPr>
      <w:r>
        <w:t xml:space="preserve">от 20.12.2012г. № 40/534 (в редакции от 07.07.2014г. № 46/575,</w:t>
      </w:r>
      <w:r/>
    </w:p>
    <w:p>
      <w:pPr>
        <w:pStyle w:val="619"/>
        <w:jc w:val="right"/>
        <w:tabs>
          <w:tab w:val="left" w:pos="426" w:leader="none"/>
        </w:tabs>
      </w:pPr>
      <w:r>
        <w:t xml:space="preserve">от 28.04.2016г. № 3/18, от 20.07.2017 г. № 32/244, </w:t>
      </w:r>
      <w:r/>
    </w:p>
    <w:p>
      <w:pPr>
        <w:pStyle w:val="619"/>
        <w:jc w:val="right"/>
        <w:tabs>
          <w:tab w:val="left" w:pos="426" w:leader="none"/>
        </w:tabs>
      </w:pPr>
      <w:r>
        <w:t xml:space="preserve">от 14.05.2019 г. № 77/588, от 21.11.2023 № 47/428, от 01.07.2024 № 70/502)</w:t>
      </w:r>
      <w:r/>
    </w:p>
    <w:p>
      <w:pPr>
        <w:pStyle w:val="676"/>
        <w:jc w:val="center"/>
        <w:spacing w:line="240" w:lineRule="exact"/>
      </w:pPr>
      <w:r/>
      <w:r/>
    </w:p>
    <w:p>
      <w:pPr>
        <w:pStyle w:val="676"/>
        <w:jc w:val="center"/>
        <w:spacing w:line="240" w:lineRule="exact"/>
      </w:pPr>
      <w:r/>
      <w:r/>
    </w:p>
    <w:p>
      <w:pPr>
        <w:pStyle w:val="676"/>
        <w:jc w:val="center"/>
        <w:spacing w:line="240" w:lineRule="exact"/>
        <w:rPr>
          <w:szCs w:val="28"/>
        </w:rPr>
      </w:pPr>
      <w:r>
        <w:t xml:space="preserve">Изменения,</w:t>
      </w:r>
      <w:r>
        <w:rPr>
          <w:szCs w:val="28"/>
        </w:rPr>
      </w:r>
      <w:r>
        <w:rPr>
          <w:szCs w:val="28"/>
        </w:rPr>
      </w:r>
    </w:p>
    <w:p>
      <w:pPr>
        <w:pStyle w:val="619"/>
        <w:jc w:val="both"/>
        <w:spacing w:line="240" w:lineRule="exact"/>
        <w:rPr>
          <w:szCs w:val="28"/>
        </w:rPr>
      </w:pPr>
      <w:r>
        <w:rPr>
          <w:szCs w:val="28"/>
        </w:rPr>
        <w:t xml:space="preserve">которые вносятся в </w:t>
      </w:r>
      <w:r>
        <w:t xml:space="preserve">с</w:t>
      </w:r>
      <w:r>
        <w:rPr>
          <w:szCs w:val="28"/>
        </w:rPr>
        <w:t xml:space="preserve">писок избирательных участков, участков референдума, образованных </w:t>
      </w:r>
      <w:r>
        <w:t xml:space="preserve">на территории Петровского района Ставропольского края</w:t>
      </w:r>
      <w:r>
        <w:rPr>
          <w:szCs w:val="28"/>
        </w:rPr>
        <w:t xml:space="preserve"> пос</w:t>
      </w:r>
      <w:r>
        <w:rPr>
          <w:szCs w:val="28"/>
        </w:rPr>
        <w:t xml:space="preserve">тановлением администрации Петровского муниципального района Ставропольского края от 24 декабря 2012 года № 1475 (с изменениями)              «Об образовании избирательных участков, участков референдума на территории Петровского района Ставропольского края»</w:t>
      </w:r>
      <w:r>
        <w:rPr>
          <w:szCs w:val="28"/>
        </w:rPr>
      </w:r>
      <w:r>
        <w:rPr>
          <w:szCs w:val="28"/>
        </w:rPr>
      </w:r>
    </w:p>
    <w:p>
      <w:pPr>
        <w:pStyle w:val="619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9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9"/>
        <w:ind w:right="-2" w:firstLine="708"/>
        <w:jc w:val="both"/>
        <w:rPr>
          <w:szCs w:val="28"/>
        </w:rPr>
      </w:pPr>
      <w:r>
        <w:t xml:space="preserve">1. В разделе «Из</w:t>
      </w:r>
      <w:r>
        <w:t xml:space="preserve">бирательный участок, участок референдума № 968» слова «муниципальное казенное учреждение дополнительного образования «Районная комплексная детско-юношеская спортивная школа» заменить словами «муниципальное бюджетное учреждение дополнительного образования «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 xml:space="preserve">Спортивная школа</w:t>
      </w:r>
      <w: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pStyle w:val="619"/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9"/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9"/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  <w:t xml:space="preserve">Секретарь </w:t>
        <w:tab/>
        <w:tab/>
        <w:tab/>
        <w:tab/>
        <w:tab/>
        <w:tab/>
        <w:tab/>
        <w:tab/>
        <w:tab/>
        <w:t xml:space="preserve">     О.В.Сыроватко</w:t>
      </w:r>
      <w:r>
        <w:rPr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851" w:right="624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ohit Devanagar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1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11"/>
    <w:link w:val="625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661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66"/>
    <w:uiPriority w:val="99"/>
  </w:style>
  <w:style w:type="character" w:styleId="45">
    <w:name w:val="Footer Char"/>
    <w:basedOn w:val="11"/>
    <w:link w:val="667"/>
    <w:uiPriority w:val="99"/>
  </w:style>
  <w:style w:type="character" w:styleId="47">
    <w:name w:val="Caption Char"/>
    <w:basedOn w:val="657"/>
    <w:link w:val="667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link w:val="619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620">
    <w:name w:val="Heading 1"/>
    <w:basedOn w:val="619"/>
    <w:next w:val="619"/>
    <w:link w:val="619"/>
    <w:pPr>
      <w:numPr>
        <w:ilvl w:val="0"/>
        <w:numId w:val="1"/>
      </w:numPr>
      <w:ind w:left="-142" w:right="-144" w:firstLine="0"/>
      <w:keepNext/>
      <w:outlineLvl w:val="0"/>
    </w:pPr>
    <w:rPr>
      <w:b/>
      <w:sz w:val="24"/>
      <w:szCs w:val="20"/>
    </w:rPr>
  </w:style>
  <w:style w:type="paragraph" w:styleId="621">
    <w:name w:val="Heading 2"/>
    <w:basedOn w:val="619"/>
    <w:next w:val="619"/>
    <w:link w:val="619"/>
    <w:pPr>
      <w:numPr>
        <w:ilvl w:val="1"/>
        <w:numId w:val="1"/>
      </w:numPr>
      <w:keepNext/>
      <w:outlineLvl w:val="1"/>
    </w:pPr>
    <w:rPr>
      <w:b/>
      <w:bCs/>
      <w:szCs w:val="28"/>
    </w:rPr>
  </w:style>
  <w:style w:type="paragraph" w:styleId="622">
    <w:name w:val="Heading 3"/>
    <w:basedOn w:val="619"/>
    <w:next w:val="619"/>
    <w:link w:val="619"/>
    <w:pPr>
      <w:numPr>
        <w:ilvl w:val="2"/>
        <w:numId w:val="1"/>
      </w:numPr>
      <w:jc w:val="both"/>
      <w:keepNext/>
      <w:shd w:val="clear" w:color="auto" w:fill="ffffff"/>
      <w:outlineLvl w:val="2"/>
    </w:pPr>
    <w:rPr>
      <w:b/>
      <w:color w:val="212121"/>
      <w:szCs w:val="28"/>
      <w:u w:val="single"/>
    </w:rPr>
  </w:style>
  <w:style w:type="paragraph" w:styleId="623">
    <w:name w:val="Heading 4"/>
    <w:basedOn w:val="619"/>
    <w:next w:val="619"/>
    <w:link w:val="619"/>
    <w:pPr>
      <w:numPr>
        <w:ilvl w:val="3"/>
        <w:numId w:val="1"/>
      </w:numPr>
      <w:jc w:val="both"/>
      <w:keepNext/>
      <w:outlineLvl w:val="3"/>
    </w:pPr>
    <w:rPr>
      <w:b/>
      <w:bCs/>
      <w:u w:val="single"/>
    </w:rPr>
  </w:style>
  <w:style w:type="paragraph" w:styleId="624">
    <w:name w:val="Heading 7"/>
    <w:basedOn w:val="619"/>
    <w:next w:val="619"/>
    <w:link w:val="619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625">
    <w:name w:val="Heading 8"/>
    <w:basedOn w:val="619"/>
    <w:next w:val="619"/>
    <w:link w:val="619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character" w:styleId="626">
    <w:name w:val="WW8Num1z0"/>
    <w:next w:val="626"/>
    <w:link w:val="619"/>
  </w:style>
  <w:style w:type="character" w:styleId="627">
    <w:name w:val="WW8Num1z1"/>
    <w:next w:val="627"/>
    <w:link w:val="619"/>
  </w:style>
  <w:style w:type="character" w:styleId="628">
    <w:name w:val="WW8Num1z2"/>
    <w:next w:val="628"/>
    <w:link w:val="619"/>
  </w:style>
  <w:style w:type="character" w:styleId="629">
    <w:name w:val="WW8Num1z3"/>
    <w:next w:val="629"/>
    <w:link w:val="619"/>
  </w:style>
  <w:style w:type="character" w:styleId="630">
    <w:name w:val="WW8Num1z4"/>
    <w:next w:val="630"/>
    <w:link w:val="619"/>
  </w:style>
  <w:style w:type="character" w:styleId="631">
    <w:name w:val="WW8Num1z5"/>
    <w:next w:val="631"/>
    <w:link w:val="619"/>
  </w:style>
  <w:style w:type="character" w:styleId="632">
    <w:name w:val="WW8Num1z6"/>
    <w:next w:val="632"/>
    <w:link w:val="619"/>
  </w:style>
  <w:style w:type="character" w:styleId="633">
    <w:name w:val="WW8Num1z7"/>
    <w:next w:val="633"/>
    <w:link w:val="619"/>
  </w:style>
  <w:style w:type="character" w:styleId="634">
    <w:name w:val="WW8Num1z8"/>
    <w:next w:val="634"/>
    <w:link w:val="619"/>
  </w:style>
  <w:style w:type="character" w:styleId="635">
    <w:name w:val="Основной шрифт абзаца"/>
    <w:next w:val="635"/>
    <w:link w:val="619"/>
  </w:style>
  <w:style w:type="character" w:styleId="636">
    <w:name w:val="WW8Num2z0"/>
    <w:next w:val="636"/>
    <w:link w:val="619"/>
  </w:style>
  <w:style w:type="character" w:styleId="637">
    <w:name w:val="WW8Num2z1"/>
    <w:next w:val="637"/>
    <w:link w:val="619"/>
  </w:style>
  <w:style w:type="character" w:styleId="638">
    <w:name w:val="WW8Num2z2"/>
    <w:next w:val="638"/>
    <w:link w:val="619"/>
  </w:style>
  <w:style w:type="character" w:styleId="639">
    <w:name w:val="WW8Num2z3"/>
    <w:next w:val="639"/>
    <w:link w:val="619"/>
  </w:style>
  <w:style w:type="character" w:styleId="640">
    <w:name w:val="WW8Num2z4"/>
    <w:next w:val="640"/>
    <w:link w:val="619"/>
  </w:style>
  <w:style w:type="character" w:styleId="641">
    <w:name w:val="WW8Num2z5"/>
    <w:next w:val="641"/>
    <w:link w:val="619"/>
  </w:style>
  <w:style w:type="character" w:styleId="642">
    <w:name w:val="WW8Num2z6"/>
    <w:next w:val="642"/>
    <w:link w:val="619"/>
  </w:style>
  <w:style w:type="character" w:styleId="643">
    <w:name w:val="WW8Num2z7"/>
    <w:next w:val="643"/>
    <w:link w:val="619"/>
  </w:style>
  <w:style w:type="character" w:styleId="644">
    <w:name w:val="WW8Num2z8"/>
    <w:next w:val="644"/>
    <w:link w:val="619"/>
  </w:style>
  <w:style w:type="character" w:styleId="645">
    <w:name w:val="Основной шрифт абзаца1"/>
    <w:next w:val="645"/>
    <w:link w:val="619"/>
  </w:style>
  <w:style w:type="character" w:styleId="646">
    <w:name w:val="Верхний колонтитул Знак"/>
    <w:basedOn w:val="645"/>
    <w:next w:val="646"/>
    <w:link w:val="619"/>
    <w:rPr>
      <w:sz w:val="28"/>
      <w:szCs w:val="24"/>
    </w:rPr>
  </w:style>
  <w:style w:type="character" w:styleId="647">
    <w:name w:val="Нижний колонтитул Знак"/>
    <w:basedOn w:val="645"/>
    <w:next w:val="647"/>
    <w:link w:val="619"/>
    <w:rPr>
      <w:sz w:val="28"/>
      <w:szCs w:val="24"/>
    </w:rPr>
  </w:style>
  <w:style w:type="character" w:styleId="648">
    <w:name w:val="Font Style11"/>
    <w:basedOn w:val="645"/>
    <w:next w:val="648"/>
    <w:link w:val="619"/>
    <w:rPr>
      <w:rFonts w:ascii="Times New Roman" w:hAnsi="Times New Roman" w:cs="Times New Roman"/>
      <w:b/>
      <w:bCs/>
      <w:sz w:val="26"/>
      <w:szCs w:val="26"/>
    </w:rPr>
  </w:style>
  <w:style w:type="character" w:styleId="649">
    <w:name w:val="Font Style36"/>
    <w:basedOn w:val="645"/>
    <w:next w:val="649"/>
    <w:link w:val="619"/>
    <w:rPr>
      <w:rFonts w:ascii="Times New Roman" w:hAnsi="Times New Roman" w:cs="Times New Roman"/>
      <w:sz w:val="26"/>
      <w:szCs w:val="26"/>
    </w:rPr>
  </w:style>
  <w:style w:type="character" w:styleId="650">
    <w:name w:val="Текст выноски Знак"/>
    <w:basedOn w:val="645"/>
    <w:next w:val="650"/>
    <w:link w:val="619"/>
    <w:rPr>
      <w:rFonts w:ascii="Tahoma" w:hAnsi="Tahoma" w:cs="Tahoma"/>
      <w:sz w:val="16"/>
      <w:szCs w:val="16"/>
    </w:rPr>
  </w:style>
  <w:style w:type="character" w:styleId="651">
    <w:name w:val="Strong"/>
    <w:basedOn w:val="645"/>
    <w:next w:val="651"/>
    <w:link w:val="619"/>
    <w:rPr>
      <w:b w:val="0"/>
      <w:bCs w:val="0"/>
    </w:rPr>
  </w:style>
  <w:style w:type="character" w:styleId="652">
    <w:name w:val="Font Style21"/>
    <w:basedOn w:val="645"/>
    <w:next w:val="652"/>
    <w:link w:val="619"/>
    <w:rPr>
      <w:rFonts w:ascii="Times New Roman" w:hAnsi="Times New Roman" w:cs="Times New Roman"/>
      <w:sz w:val="26"/>
      <w:szCs w:val="26"/>
    </w:rPr>
  </w:style>
  <w:style w:type="character" w:styleId="653">
    <w:name w:val="Название Знак"/>
    <w:basedOn w:val="645"/>
    <w:next w:val="653"/>
    <w:link w:val="619"/>
    <w:rPr>
      <w:sz w:val="28"/>
    </w:rPr>
  </w:style>
  <w:style w:type="paragraph" w:styleId="654">
    <w:name w:val="Заголовок"/>
    <w:basedOn w:val="619"/>
    <w:next w:val="655"/>
    <w:link w:val="619"/>
    <w:pPr>
      <w:jc w:val="center"/>
    </w:pPr>
    <w:rPr>
      <w:szCs w:val="20"/>
    </w:rPr>
  </w:style>
  <w:style w:type="paragraph" w:styleId="655">
    <w:name w:val="Body Text"/>
    <w:basedOn w:val="619"/>
    <w:next w:val="655"/>
    <w:link w:val="619"/>
    <w:rPr>
      <w:sz w:val="22"/>
    </w:rPr>
  </w:style>
  <w:style w:type="paragraph" w:styleId="656">
    <w:name w:val="List"/>
    <w:basedOn w:val="655"/>
    <w:next w:val="656"/>
    <w:link w:val="619"/>
    <w:rPr>
      <w:rFonts w:cs="Lohit Devanagari"/>
    </w:rPr>
  </w:style>
  <w:style w:type="paragraph" w:styleId="657">
    <w:name w:val="Caption"/>
    <w:basedOn w:val="619"/>
    <w:next w:val="657"/>
    <w:link w:val="619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8">
    <w:name w:val="Указатель"/>
    <w:basedOn w:val="619"/>
    <w:next w:val="658"/>
    <w:link w:val="619"/>
    <w:pPr>
      <w:suppressLineNumbers/>
    </w:pPr>
    <w:rPr>
      <w:rFonts w:cs="Lohit Devanagari"/>
    </w:rPr>
  </w:style>
  <w:style w:type="paragraph" w:styleId="659">
    <w:name w:val="Название объекта"/>
    <w:basedOn w:val="619"/>
    <w:next w:val="659"/>
    <w:link w:val="619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60">
    <w:name w:val="Указатель1"/>
    <w:basedOn w:val="619"/>
    <w:next w:val="660"/>
    <w:link w:val="619"/>
    <w:pPr>
      <w:suppressLineNumbers/>
    </w:pPr>
    <w:rPr>
      <w:rFonts w:cs="Lohit Devanagari"/>
    </w:rPr>
  </w:style>
  <w:style w:type="paragraph" w:styleId="661">
    <w:name w:val="Subtitle"/>
    <w:basedOn w:val="619"/>
    <w:next w:val="655"/>
    <w:link w:val="619"/>
    <w:pPr>
      <w:jc w:val="center"/>
    </w:pPr>
    <w:rPr>
      <w:sz w:val="24"/>
      <w:szCs w:val="20"/>
    </w:rPr>
  </w:style>
  <w:style w:type="paragraph" w:styleId="662">
    <w:name w:val="Основной текст 21"/>
    <w:basedOn w:val="619"/>
    <w:next w:val="662"/>
    <w:link w:val="619"/>
    <w:pPr>
      <w:jc w:val="both"/>
      <w:tabs>
        <w:tab w:val="left" w:pos="374" w:leader="none"/>
      </w:tabs>
    </w:pPr>
  </w:style>
  <w:style w:type="paragraph" w:styleId="663">
    <w:name w:val="Body Text Indent"/>
    <w:basedOn w:val="619"/>
    <w:next w:val="663"/>
    <w:link w:val="619"/>
    <w:pPr>
      <w:ind w:left="0" w:right="-26" w:firstLine="360"/>
      <w:spacing w:line="360" w:lineRule="auto"/>
      <w:shd w:val="clear" w:color="auto" w:fill="ffffff"/>
      <w:widowControl w:val="off"/>
    </w:pPr>
    <w:rPr>
      <w:sz w:val="24"/>
      <w:szCs w:val="20"/>
    </w:rPr>
  </w:style>
  <w:style w:type="paragraph" w:styleId="664">
    <w:name w:val="Верхний и нижний колонтитулы"/>
    <w:basedOn w:val="619"/>
    <w:next w:val="664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65">
    <w:name w:val="Колонтитул"/>
    <w:basedOn w:val="619"/>
    <w:next w:val="665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66">
    <w:name w:val="Header"/>
    <w:basedOn w:val="619"/>
    <w:next w:val="666"/>
    <w:link w:val="619"/>
    <w:pPr>
      <w:tabs>
        <w:tab w:val="center" w:pos="4677" w:leader="none"/>
        <w:tab w:val="right" w:pos="9355" w:leader="none"/>
      </w:tabs>
    </w:pPr>
  </w:style>
  <w:style w:type="paragraph" w:styleId="667">
    <w:name w:val="Footer"/>
    <w:basedOn w:val="619"/>
    <w:next w:val="667"/>
    <w:link w:val="619"/>
    <w:pPr>
      <w:tabs>
        <w:tab w:val="center" w:pos="4677" w:leader="none"/>
        <w:tab w:val="right" w:pos="9355" w:leader="none"/>
      </w:tabs>
    </w:pPr>
  </w:style>
  <w:style w:type="paragraph" w:styleId="668">
    <w:name w:val="ConsNonformat"/>
    <w:next w:val="668"/>
    <w:link w:val="619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69">
    <w:name w:val="ConsPlusNormal"/>
    <w:next w:val="669"/>
    <w:link w:val="619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70">
    <w:name w:val="Т-1"/>
    <w:basedOn w:val="619"/>
    <w:next w:val="670"/>
    <w:link w:val="619"/>
    <w:pPr>
      <w:ind w:left="0" w:right="0" w:firstLine="720"/>
      <w:jc w:val="both"/>
      <w:spacing w:line="360" w:lineRule="auto"/>
    </w:pPr>
    <w:rPr>
      <w:szCs w:val="20"/>
    </w:rPr>
  </w:style>
  <w:style w:type="paragraph" w:styleId="671">
    <w:name w:val="ConsPlusNonformat"/>
    <w:next w:val="671"/>
    <w:link w:val="619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72">
    <w:name w:val="ConsPlusTitle"/>
    <w:next w:val="672"/>
    <w:link w:val="619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673">
    <w:name w:val="Текст выноски"/>
    <w:basedOn w:val="619"/>
    <w:next w:val="673"/>
    <w:link w:val="619"/>
    <w:rPr>
      <w:rFonts w:ascii="Tahoma" w:hAnsi="Tahoma" w:cs="Tahoma"/>
      <w:sz w:val="16"/>
      <w:szCs w:val="16"/>
    </w:rPr>
  </w:style>
  <w:style w:type="paragraph" w:styleId="674">
    <w:name w:val="Style7"/>
    <w:basedOn w:val="619"/>
    <w:next w:val="674"/>
    <w:link w:val="619"/>
    <w:pPr>
      <w:widowControl w:val="off"/>
    </w:pPr>
    <w:rPr>
      <w:rFonts w:eastAsia="Times New Roman"/>
      <w:sz w:val="24"/>
    </w:rPr>
  </w:style>
  <w:style w:type="paragraph" w:styleId="675">
    <w:name w:val="Body Text 2"/>
    <w:basedOn w:val="619"/>
    <w:next w:val="675"/>
    <w:link w:val="619"/>
    <w:pPr>
      <w:spacing w:before="180" w:after="0"/>
      <w:widowControl w:val="off"/>
    </w:pPr>
    <w:rPr>
      <w:szCs w:val="20"/>
    </w:rPr>
  </w:style>
  <w:style w:type="paragraph" w:styleId="676">
    <w:name w:val="No Spacing"/>
    <w:next w:val="676"/>
    <w:link w:val="619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hi-IN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kil</dc:creator>
  <cp:revision>13</cp:revision>
  <dcterms:created xsi:type="dcterms:W3CDTF">2019-05-14T06:24:00Z</dcterms:created>
  <dcterms:modified xsi:type="dcterms:W3CDTF">2024-07-12T12:28:08Z</dcterms:modified>
</cp:coreProperties>
</file>