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7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19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9 августа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78/53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6</w:t>
            </w:r>
          </w:p>
        </w:tc>
      </w:tr>
    </w:tbl>
    <w:p>
      <w:pPr>
        <w:pStyle w:val="UserStyle_2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2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2"/>
        <w:widowControl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7"/>
          <w:szCs w:val="27"/>
        </w:rPr>
      </w:r>
    </w:p>
    <w:p>
      <w:pPr>
        <w:pStyle w:val="UserStyle_22"/>
        <w:widowControl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</w:p>
    <w:p>
      <w:pPr>
        <w:pStyle w:val="UserStyle_25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постановления территориальной избирательной комиссии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09.08.2024 г. №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78/528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О кандидатурах для дополнительного зачисления в резерв составов участковых избирательных комиссий территориальной избирательной комиссии </w:t>
      </w:r>
      <w:r>
        <w:rPr>
          <w:rFonts w:ascii="Times New Roman CYR" w:hAnsi="Times New Roman CYR" w:eastAsia="Times New Roman" w:cs="Times New Roman CYR"/>
          <w:bCs/>
          <w:color w:val="000000"/>
          <w:sz w:val="27"/>
          <w:szCs w:val="27"/>
          <w:lang w:val="ru-RU" w:bidi="ar-SA"/>
        </w:rPr>
        <w:t xml:space="preserve">Петровского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района»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22"/>
        <w:widowControl/>
        <w:ind w:right="0" w:firstLine="708"/>
        <w:jc w:val="both"/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1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. Назначить из резерва составов участковых избирательных комиссий территориальной избирательной комиссии Петровского района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shd w:val="clear" w:color="auto" w:fill="auto"/>
          <w:lang w:val="ru-RU" w:eastAsia="zh-CN" w:bidi="ar-SA"/>
        </w:rPr>
        <w:t xml:space="preserve">Яковлеву Татьяну Викторовну,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shd w:val="clear" w:color="auto" w:fill="auto"/>
          <w:lang w:val="ru-RU" w:eastAsia="zh-CN" w:bidi="ar-SA"/>
        </w:rPr>
        <w:t xml:space="preserve">1989 года рождения, предложенного 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shd w:val="clear" w:color="auto" w:fill="auto"/>
          <w:lang w:val="ru-RU" w:eastAsia="zh-CN" w:bidi="ar-SA"/>
        </w:rPr>
        <w:t xml:space="preserve">обранием избирателей по месту жительства.</w:t>
      </w: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r>
    </w:p>
    <w:p>
      <w:pPr>
        <w:pStyle w:val="UserStyle_22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  <w:t xml:space="preserve">3</w:t>
      </w:r>
      <w:r>
        <w:rPr>
          <w:b w:val="0"/>
          <w:sz w:val="27"/>
          <w:szCs w:val="27"/>
        </w:rPr>
        <w:t xml:space="preserve">. Приложение № 1</w:t>
      </w:r>
      <w:r>
        <w:rPr>
          <w:b w:val="0"/>
          <w:sz w:val="27"/>
          <w:szCs w:val="27"/>
        </w:rPr>
        <w:t xml:space="preserve">0</w:t>
      </w:r>
      <w:r>
        <w:rPr>
          <w:rFonts w:eastAsia="Times New Roman" w:cs="Times New Roman"/>
          <w:b w:val="0"/>
          <w:bCs/>
          <w:color w:val="000000"/>
          <w:sz w:val="27"/>
          <w:szCs w:val="27"/>
          <w:lang w:val="ru-RU" w:eastAsia="zh-CN" w:bidi="ar-SA"/>
        </w:rPr>
        <w:t xml:space="preserve"> </w:t>
      </w:r>
      <w:r>
        <w:rPr>
          <w:b w:val="0"/>
          <w:sz w:val="27"/>
          <w:szCs w:val="27"/>
        </w:rPr>
        <w:t xml:space="preserve">к постановлению территориальной избирательной комиссии Петровского района </w:t>
      </w:r>
      <w:r>
        <w:rPr>
          <w:b w:val="0"/>
          <w:bCs w:val="0"/>
          <w:sz w:val="27"/>
          <w:szCs w:val="27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18"/>
        <w:ind w:left="0" w:right="0" w:firstLine="720"/>
        <w:jc w:val="both"/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4.</w:t>
      </w:r>
      <w:r>
        <w:rPr>
          <w:b w:val="0"/>
          <w:bCs w:val="0"/>
          <w:sz w:val="27"/>
          <w:szCs w:val="27"/>
        </w:rPr>
        <w:t xml:space="preserve"> Направить настоящее постановление в </w:t>
      </w:r>
      <w:r>
        <w:rPr>
          <w:b w:val="0"/>
          <w:sz w:val="27"/>
          <w:szCs w:val="27"/>
        </w:rPr>
        <w:t xml:space="preserve">участковую избирательную комиссии избирательного участка № 96</w:t>
      </w:r>
      <w:r>
        <w:rPr>
          <w:b w:val="0"/>
          <w:sz w:val="27"/>
          <w:szCs w:val="27"/>
        </w:rPr>
        <w:t xml:space="preserve">2</w:t>
      </w:r>
      <w:r>
        <w:rPr>
          <w:b w:val="0"/>
          <w:sz w:val="27"/>
          <w:szCs w:val="27"/>
        </w:rPr>
        <w:t xml:space="preserve">.</w:t>
      </w:r>
    </w:p>
    <w:p>
      <w:pPr>
        <w:pStyle w:val="UserStyle_18"/>
        <w:ind w:left="0" w:right="0" w:firstLine="720"/>
        <w:jc w:val="both"/>
      </w:pPr>
    </w:p>
    <w:p>
      <w:pPr>
        <w:pStyle w:val="UserStyle_18"/>
        <w:ind w:left="0" w:right="0" w:firstLine="720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Normal"/>
        <w:jc w:val="center"/>
      </w:pPr>
    </w:p>
    <w:p>
      <w:pPr>
        <w:pStyle w:val="UserStyle_29"/>
        <w:numPr>
          <w:numId w:val="0"/>
          <w:ilvl w:val="0"/>
        </w:numPr>
        <w:ind w:left="4820" w:right="0" w:firstLine="0"/>
        <w:jc w:val="center"/>
        <w:outlineLvl w:val="1"/>
      </w:pPr>
    </w:p>
    <w:p>
      <w:pPr>
        <w:pStyle w:val="UserStyle_29"/>
        <w:numPr>
          <w:numId w:val="0"/>
          <w:ilvl w:val="0"/>
        </w:numPr>
        <w:ind w:left="4820" w:right="0" w:firstLine="0"/>
        <w:jc w:val="center"/>
        <w:outlineLvl w:val="1"/>
      </w:pPr>
    </w:p>
    <w:p>
      <w:pPr>
        <w:pStyle w:val="UserStyle_29"/>
        <w:numPr>
          <w:numId w:val="0"/>
          <w:ilvl w:val="0"/>
        </w:numPr>
        <w:ind w:left="4820" w:right="0" w:firstLine="0"/>
        <w:jc w:val="center"/>
        <w:outlineLvl w:val="1"/>
      </w:pPr>
    </w:p>
    <w:p>
      <w:pPr>
        <w:pStyle w:val="UserStyle_29"/>
        <w:numPr>
          <w:numId w:val="0"/>
          <w:ilvl w:val="0"/>
        </w:numPr>
        <w:ind w:left="4820" w:right="0" w:firstLine="0"/>
        <w:jc w:val="center"/>
        <w:outlineLvl w:val="1"/>
      </w:pPr>
    </w:p>
    <w:p>
      <w:pPr>
        <w:pStyle w:val="UserStyle_29"/>
        <w:numPr>
          <w:numId w:val="0"/>
          <w:ilvl w:val="0"/>
        </w:numPr>
        <w:ind w:left="4820" w:right="0" w:firstLine="0"/>
        <w:jc w:val="center"/>
        <w:outlineLvl w:val="1"/>
      </w:pPr>
    </w:p>
    <w:p>
      <w:pPr>
        <w:pStyle w:val="UserStyle_29"/>
        <w:numPr>
          <w:numId w:val="0"/>
          <w:ilvl w:val="0"/>
        </w:numPr>
        <w:ind w:left="4820" w:right="0" w:firstLine="0"/>
        <w:jc w:val="center"/>
        <w:outlineLvl w:val="1"/>
      </w:pPr>
    </w:p>
    <w:p>
      <w:pPr>
        <w:pStyle w:val="UserStyle_29"/>
        <w:numPr>
          <w:numId w:val="0"/>
          <w:ilvl w:val="0"/>
        </w:numPr>
        <w:ind w:left="4820" w:right="0" w:firstLine="0"/>
        <w:jc w:val="center"/>
        <w:outlineLvl w:val="1"/>
      </w:pPr>
    </w:p>
    <w:p>
      <w:pPr>
        <w:pStyle w:val="UserStyle_29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10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9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29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5"/>
        <w:spacing w:line="240" w:lineRule="exact"/>
        <w:ind w:left="482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5"/>
        <w:spacing w:line="240" w:lineRule="exact"/>
        <w:ind w:left="48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(в ред. от 09.08.2024 № 78/536)</w:t>
      </w:r>
      <w:r>
        <w:rPr>
          <w:rFonts w:ascii="Times New Roman" w:hAnsi="Times New Roman" w:cs="Times New Roman"/>
        </w:rPr>
      </w:r>
    </w:p>
    <w:p>
      <w:pPr>
        <w:pStyle w:val="UserStyle_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2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962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8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25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auto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Портянко Галина Николаевна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Колпакова Елена Николаевна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политической партии «Партия Возрождения России в Ставропольском крае»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Петрова Ольга Александровна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Калашникова Юлия Юрьевна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КРАЕВОЕ ОТДЕЛЕНИЕ Политической партии КОММУНИСТИЧЕСКАЯ ПАРТИЯ КОММУНИСТЫ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eastAsia="ru-RU"/>
              </w:rPr>
              <w:t xml:space="preserve">Костюченко Елена Сергеевна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Яковлева Татьяна Викторовна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Яковлева Татьяна Пантелеевна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Манько Ольга Алексеевна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9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в Ставропольском крае  политической партии «Демократическая партия России»</w:t>
            </w:r>
          </w:p>
        </w:tc>
      </w:tr>
    </w:tbl>
    <w:p>
      <w:pPr>
        <w:pStyle w:val="UserStyle_29"/>
        <w:numPr>
          <w:numId w:val="0"/>
          <w:ilvl w:val="0"/>
        </w:numPr>
        <w:ind w:left="4820" w:firstLine="0"/>
        <w:jc w:val="center"/>
        <w:outlineLvl w:val="1"/>
      </w:pPr>
    </w:p>
    <w:p>
      <w:pPr>
        <w:pStyle w:val="UserStyle_25"/>
        <w:jc w:val="both"/>
        <w:rPr>
          <w:sz w:val="2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 w:bidi="ar-SA"/>
        </w:rPr>
        <w:t xml:space="preserve">        </w:t>
      </w:r>
      <w:r>
        <w:rPr>
          <w:sz w:val="24"/>
          <w:szCs w:val="28"/>
        </w:rPr>
      </w:r>
    </w:p>
    <w:p>
      <w:pPr>
        <w:pStyle w:val="UserStyle_29"/>
        <w:numPr>
          <w:numId w:val="0"/>
          <w:ilvl w:val="0"/>
        </w:numPr>
        <w:ind w:left="4820" w:right="0" w:firstLine="0"/>
        <w:jc w:val="center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UserStyle_29"/>
        <w:numPr>
          <w:numId w:val="0"/>
          <w:ilvl w:val="0"/>
        </w:numPr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Noto Sans Devanagari">
    <w:panose1 w:val="020B050204050402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Caption1"/>
    <w:basedOn w:val="Normal"/>
    <w:next w:val="UserStyle_14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5">
    <w:name w:val="Caption11"/>
    <w:basedOn w:val="Normal"/>
    <w:next w:val="UserStyle_15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6">
    <w:name w:val="Caption111"/>
    <w:basedOn w:val="Normal"/>
    <w:next w:val="UserStyle_16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7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8">
    <w:name w:val="Цитата"/>
    <w:basedOn w:val="Normal"/>
    <w:next w:val="UserStyle_18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9">
    <w:name w:val="Норм"/>
    <w:basedOn w:val="Normal"/>
    <w:next w:val="UserStyle_19"/>
    <w:link w:val="Normal"/>
    <w:pPr>
      <w:jc w:val="center"/>
    </w:pPr>
  </w:style>
  <w:style w:type="paragraph" w:styleId="UserStyle_20">
    <w:name w:val="Body Text 2"/>
    <w:basedOn w:val="Normal"/>
    <w:next w:val="UserStyle_20"/>
    <w:link w:val="Normal"/>
    <w:pPr>
      <w:widowControl w:val="off"/>
      <w:spacing w:before="180" w:after="0"/>
    </w:pPr>
    <w:rPr>
      <w:szCs w:val="20"/>
    </w:rPr>
  </w:style>
  <w:style w:type="paragraph" w:styleId="UserStyle_21">
    <w:name w:val="Знак"/>
    <w:basedOn w:val="Normal"/>
    <w:next w:val="UserStyle_21"/>
    <w:link w:val="Normal"/>
    <w:pPr>
      <w:spacing w:before="0" w:after="160" w:line="240" w:lineRule="exact"/>
    </w:pPr>
    <w:rPr>
      <w:sz w:val="20"/>
      <w:szCs w:val="20"/>
    </w:rPr>
  </w:style>
  <w:style w:type="paragraph" w:styleId="UserStyle_22">
    <w:name w:val="ConsPlusTitle"/>
    <w:next w:val="UserStyle_22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3">
    <w:name w:val="Style1"/>
    <w:basedOn w:val="Normal"/>
    <w:next w:val="UserStyle_23"/>
    <w:link w:val="Normal"/>
    <w:pPr>
      <w:widowControl w:val="off"/>
    </w:pPr>
    <w:rPr>
      <w:sz w:val="24"/>
    </w:rPr>
  </w:style>
  <w:style w:type="paragraph" w:styleId="UserStyle_24">
    <w:name w:val="письмо"/>
    <w:basedOn w:val="Normal"/>
    <w:next w:val="UserStyle_24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5">
    <w:name w:val="ConsPlusNonformat"/>
    <w:next w:val="UserStyle_25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6">
    <w:name w:val="Текст выноски"/>
    <w:basedOn w:val="Normal"/>
    <w:next w:val="UserStyle_26"/>
    <w:link w:val="Normal"/>
    <w:rPr>
      <w:rFonts w:ascii="Segoe UI" w:hAnsi="Segoe UI" w:cs="Segoe UI"/>
      <w:sz w:val="18"/>
      <w:szCs w:val="18"/>
    </w:rPr>
  </w:style>
  <w:style w:type="paragraph" w:styleId="UserStyle_27">
    <w:name w:val="Содержимое таблицы"/>
    <w:basedOn w:val="Normal"/>
    <w:next w:val="UserStyle_27"/>
    <w:link w:val="Normal"/>
    <w:pPr>
      <w:suppressLineNumbers/>
    </w:pPr>
  </w:style>
  <w:style w:type="paragraph" w:styleId="UserStyle_28">
    <w:name w:val="Заголовок таблицы"/>
    <w:basedOn w:val="UserStyle_27"/>
    <w:next w:val="UserStyle_28"/>
    <w:link w:val="Normal"/>
    <w:pPr>
      <w:suppressLineNumbers/>
      <w:jc w:val="center"/>
    </w:pPr>
    <w:rPr>
      <w:b/>
      <w:bCs/>
    </w:rPr>
  </w:style>
  <w:style w:type="paragraph" w:styleId="UserStyle_29">
    <w:name w:val="ConsPlusNormal"/>
    <w:next w:val="UserStyle_29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49</cp:revision>
  <dcterms:created xsi:type="dcterms:W3CDTF">2022-08-04T05:59:00Z</dcterms:created>
  <dcterms:modified xsi:type="dcterms:W3CDTF">2024-08-09T13:31:00Z</dcterms:modified>
</cp:coreProperties>
</file>