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5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righ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17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9 августа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78/53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1</w:t>
            </w:r>
          </w:p>
        </w:tc>
      </w:tr>
    </w:tbl>
    <w:p>
      <w:pPr>
        <w:pStyle w:val="UserStyle_18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</w:p>
    <w:p>
      <w:pPr>
        <w:pStyle w:val="UserStyle_18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0"/>
        <w:widowControl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7"/>
          <w:szCs w:val="27"/>
        </w:rPr>
      </w:r>
    </w:p>
    <w:p>
      <w:pPr>
        <w:pStyle w:val="UserStyle_20"/>
        <w:widowControl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</w:r>
    </w:p>
    <w:p>
      <w:pPr>
        <w:pStyle w:val="UserStyle_23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пунктам 11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bidi="ar-SA"/>
        </w:rPr>
        <w:t xml:space="preserve">я</w:t>
      </w:r>
      <w:r>
        <w:rPr>
          <w:rFonts w:ascii="Times New Roman" w:hAnsi="Times New Roman" w:cs="Times New Roman"/>
          <w:sz w:val="27"/>
          <w:szCs w:val="27"/>
        </w:rPr>
        <w:t xml:space="preserve"> Сердюковой Натальи Николаевны о сложении полномочий члена участковой избирательной комиссии избирательного участка № 9</w:t>
      </w: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5, заявления Фоминой Галины Ивановны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 сложении полномочий члена участковой избирательной комиссии избирательного участка № 9</w:t>
      </w:r>
      <w:r>
        <w:rPr>
          <w:rFonts w:ascii="Times New Roman" w:hAnsi="Times New Roman" w:cs="Times New Roman"/>
          <w:sz w:val="27"/>
          <w:szCs w:val="27"/>
        </w:rPr>
        <w:t xml:space="preserve">65</w:t>
      </w:r>
      <w:r>
        <w:rPr>
          <w:rFonts w:ascii="Times New Roman" w:hAnsi="Times New Roman" w:cs="Times New Roman"/>
          <w:sz w:val="27"/>
          <w:szCs w:val="27"/>
        </w:rPr>
        <w:t xml:space="preserve"> с правом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решающего голоса, постановления территориальной избирательной комиссии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09.08.2024 г. № </w:t>
      </w:r>
      <w:r>
        <w:rPr>
          <w:rFonts w:ascii="Times New Roman" w:hAnsi="Times New Roman" w:eastAsia="Calibri" w:cs="Times New Roman"/>
          <w:color w:val="000000"/>
          <w:sz w:val="27"/>
          <w:szCs w:val="27"/>
          <w:lang w:val="ru-RU" w:eastAsia="zh-CN" w:bidi="ar-SA"/>
        </w:rPr>
        <w:t xml:space="preserve">78/528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О кандидатурах для дополнительного зачисления в резерв составов участковых избирательных комиссий территориальной избирательной комиссии </w:t>
      </w:r>
      <w:r>
        <w:rPr>
          <w:rFonts w:ascii="Times New Roman CYR" w:hAnsi="Times New Roman CYR" w:eastAsia="Times New Roman" w:cs="Times New Roman CYR"/>
          <w:bCs/>
          <w:color w:val="000000"/>
          <w:sz w:val="27"/>
          <w:szCs w:val="27"/>
          <w:lang w:val="ru-RU" w:bidi="ar-SA"/>
        </w:rPr>
        <w:t xml:space="preserve">Петровского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eastAsia="TimesNewRomanPSMT" w:cs="Times New Roman"/>
          <w:sz w:val="27"/>
          <w:szCs w:val="27"/>
        </w:rPr>
        <w:t xml:space="preserve">территориальная избирательная комиссия Петровского района</w:t>
      </w: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UserStyle_20"/>
        <w:widowControl/>
        <w:ind w:right="0"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1. Прекратить досрочно полномочия:</w:t>
      </w:r>
      <w:r>
        <w:rPr>
          <w:b w:val="0"/>
          <w:sz w:val="27"/>
          <w:szCs w:val="27"/>
        </w:rPr>
      </w:r>
    </w:p>
    <w:p>
      <w:pPr>
        <w:pStyle w:val="UserStyle_20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</w:pPr>
      <w:r>
        <w:rPr>
          <w:b w:val="0"/>
          <w:sz w:val="27"/>
          <w:szCs w:val="27"/>
        </w:rPr>
        <w:t xml:space="preserve">1.1.  Члена участковой избирательной комиссии избирательного участка № 9</w:t>
      </w:r>
      <w:r>
        <w:rPr>
          <w:b w:val="0"/>
          <w:sz w:val="27"/>
          <w:szCs w:val="27"/>
        </w:rPr>
        <w:t xml:space="preserve">6</w:t>
      </w:r>
      <w:r>
        <w:rPr>
          <w:b w:val="0"/>
          <w:sz w:val="27"/>
          <w:szCs w:val="27"/>
        </w:rPr>
        <w:t xml:space="preserve">5 с правом решающего голоса </w:t>
      </w:r>
      <w:r>
        <w:rPr>
          <w:rFonts w:cs="Times New Roman"/>
          <w:b w:val="0"/>
          <w:sz w:val="27"/>
          <w:szCs w:val="27"/>
        </w:rPr>
        <w:t xml:space="preserve">Сердюковой Натальи Николаевны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.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</w:r>
    </w:p>
    <w:p>
      <w:pPr>
        <w:pStyle w:val="UserStyle_20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1.2.  Члена участковой избирательной комиссии избирательного участка № 9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6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5 с правом решающего голоса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Фоминой Галины Ивановны.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</w:r>
    </w:p>
    <w:p>
      <w:pPr>
        <w:pStyle w:val="UserStyle_20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2. Назначить из резерва составов участковых избирательных комиссий территориальной избирательной комиссии Петровского района: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</w:r>
    </w:p>
    <w:p>
      <w:pPr>
        <w:pStyle w:val="UserStyle_20"/>
        <w:widowControl/>
        <w:ind w:right="0"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 w:eastAsia="zh-CN" w:bidi="ar-SA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2.1. Членом участковой избирательной комиссии избирательного участка № 9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6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5 с правом решающего голоса Александрову Викторию Александровну, 19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95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 года рождения, предложенного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 w:eastAsia="zh-CN" w:bidi="ar-SA"/>
        </w:rPr>
        <w:t xml:space="preserve">собранием избирателей по месту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 w:eastAsia="zh-CN" w:bidi="ar-SA"/>
        </w:rPr>
        <w:t xml:space="preserve">жительства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 w:eastAsia="zh-CN" w:bidi="ar-SA"/>
        </w:rPr>
      </w:r>
    </w:p>
    <w:p>
      <w:pPr>
        <w:pStyle w:val="UserStyle_20"/>
        <w:widowControl/>
        <w:ind w:right="0" w:firstLine="708"/>
        <w:jc w:val="both"/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 w:eastAsia="zh-CN" w:bidi="ar-SA"/>
        </w:rPr>
        <w:t xml:space="preserve">2.2.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Членом участковой избирательной комиссии избирательного участка № 9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5 с правом решающего голоса Малуха Елену Васильевну, 19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69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 года рождения,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предложенного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Региональн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ым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 отделение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 Социалистической политической партии «СПРАВЕДЛИВАЯ РОССИЯ — ПАТРИОТЫ — ЗА ПРАВДУ» в Ставропольском крае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zh-CN" w:bidi="ar-SA"/>
        </w:rPr>
        <w:t xml:space="preserve">.</w:t>
      </w: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r>
    </w:p>
    <w:p>
      <w:pPr>
        <w:pStyle w:val="UserStyle_20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  <w:t xml:space="preserve">3</w:t>
      </w:r>
      <w:r>
        <w:rPr>
          <w:b w:val="0"/>
          <w:sz w:val="27"/>
          <w:szCs w:val="27"/>
        </w:rPr>
        <w:t xml:space="preserve">. Приложение № </w:t>
      </w:r>
      <w:r>
        <w:rPr>
          <w:b w:val="0"/>
          <w:sz w:val="27"/>
          <w:szCs w:val="27"/>
        </w:rPr>
        <w:t xml:space="preserve">13</w:t>
      </w:r>
      <w:r>
        <w:rPr>
          <w:rFonts w:eastAsia="Times New Roman" w:cs="Times New Roman"/>
          <w:b w:val="0"/>
          <w:bCs/>
          <w:color w:val="000000"/>
          <w:sz w:val="27"/>
          <w:szCs w:val="27"/>
          <w:lang w:val="ru-RU" w:eastAsia="zh-CN" w:bidi="ar-SA"/>
        </w:rPr>
        <w:t xml:space="preserve"> </w:t>
      </w:r>
      <w:r>
        <w:rPr>
          <w:b w:val="0"/>
          <w:sz w:val="27"/>
          <w:szCs w:val="27"/>
        </w:rPr>
        <w:t xml:space="preserve">к постановлению территориальной избирательной комиссии Петровского района </w:t>
      </w:r>
      <w:r>
        <w:rPr>
          <w:b w:val="0"/>
          <w:bCs w:val="0"/>
          <w:sz w:val="27"/>
          <w:szCs w:val="27"/>
        </w:rPr>
        <w:t xml:space="preserve">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16"/>
        <w:ind w:left="0" w:right="0" w:firstLine="720"/>
        <w:jc w:val="both"/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4.</w:t>
      </w:r>
      <w:r>
        <w:rPr>
          <w:b w:val="0"/>
          <w:bCs w:val="0"/>
          <w:sz w:val="27"/>
          <w:szCs w:val="27"/>
        </w:rPr>
        <w:t xml:space="preserve"> Направить настоящее постановление в </w:t>
      </w:r>
      <w:r>
        <w:rPr>
          <w:b w:val="0"/>
          <w:sz w:val="27"/>
          <w:szCs w:val="27"/>
        </w:rPr>
        <w:t xml:space="preserve">участковую избирательную комиссии избирательного участка № 9</w:t>
      </w:r>
      <w:r>
        <w:rPr>
          <w:b w:val="0"/>
          <w:sz w:val="27"/>
          <w:szCs w:val="27"/>
        </w:rPr>
        <w:t xml:space="preserve">6</w:t>
      </w:r>
      <w:r>
        <w:rPr>
          <w:b w:val="0"/>
          <w:sz w:val="27"/>
          <w:szCs w:val="27"/>
        </w:rPr>
        <w:t xml:space="preserve">5.</w:t>
      </w:r>
    </w:p>
    <w:p>
      <w:pPr>
        <w:pStyle w:val="UserStyle_16"/>
        <w:ind w:left="0" w:right="0" w:firstLine="720"/>
        <w:jc w:val="both"/>
      </w:pPr>
    </w:p>
    <w:p>
      <w:pPr>
        <w:pStyle w:val="UserStyle_16"/>
        <w:ind w:left="0" w:right="0" w:firstLine="720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</w:p>
        </w:tc>
      </w:tr>
    </w:tbl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13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7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27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3"/>
        <w:ind w:left="4820"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3"/>
        <w:ind w:left="4820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(в ред. от 09.08.2024 № 78/531)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965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8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25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Кошелева Елена Ивановна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Александрова Виктория Александровна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Воля Любовь Васильевна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Малуха Елена Васильевна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Смурыгина Наталия Васильевна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в Ставропольском крае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олитической партии «Гражданская Платформа»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Александров Юрий Владимирович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Зубенко Наталья Викторовна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КРАЕВОЕ ОТДЕЛЕНИЕ Политической партии КОММУНИСТИЧЕСКАЯ ПАРТИЯ КОММУНИСТЫ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Шрамко Любовь Семеновна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7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</w:tbl>
    <w:p>
      <w:pPr>
        <w:pStyle w:val="Normal"/>
        <w:jc w:val="center"/>
      </w:pPr>
    </w:p>
    <w:p>
      <w:pPr>
        <w:pStyle w:val="UserStyle_27"/>
        <w:spacing w:line="240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3"/>
        <w:jc w:val="both"/>
        <w:rPr>
          <w:sz w:val="2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 w:bidi="ar-SA"/>
        </w:rPr>
        <w:t xml:space="preserve">        </w:t>
      </w:r>
      <w:r>
        <w:rPr>
          <w:sz w:val="24"/>
          <w:szCs w:val="28"/>
        </w:rPr>
      </w:r>
    </w:p>
    <w:p>
      <w:pPr>
        <w:pStyle w:val="UserStyle_27"/>
        <w:numPr>
          <w:numId w:val="0"/>
          <w:ilvl w:val="0"/>
        </w:numPr>
        <w:ind w:left="4820" w:right="0" w:firstLine="0"/>
        <w:jc w:val="center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UserStyle_27"/>
        <w:numPr>
          <w:numId w:val="0"/>
          <w:ilvl w:val="0"/>
        </w:numPr>
        <w:ind w:left="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                                                                               О.В.Сыроватко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Noto Sans Devanagari">
    <w:panose1 w:val="020B050204050402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Caption1"/>
    <w:basedOn w:val="Normal"/>
    <w:next w:val="UserStyle_14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5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6">
    <w:name w:val="Цитата"/>
    <w:basedOn w:val="Normal"/>
    <w:next w:val="UserStyle_16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17">
    <w:name w:val="Норм"/>
    <w:basedOn w:val="Normal"/>
    <w:next w:val="UserStyle_17"/>
    <w:link w:val="Normal"/>
    <w:pPr>
      <w:jc w:val="center"/>
    </w:pPr>
  </w:style>
  <w:style w:type="paragraph" w:styleId="UserStyle_18">
    <w:name w:val="Body Text 2"/>
    <w:basedOn w:val="Normal"/>
    <w:next w:val="UserStyle_18"/>
    <w:link w:val="Normal"/>
    <w:pPr>
      <w:widowControl w:val="off"/>
      <w:spacing w:before="180" w:after="0"/>
    </w:pPr>
    <w:rPr>
      <w:szCs w:val="20"/>
    </w:rPr>
  </w:style>
  <w:style w:type="paragraph" w:styleId="UserStyle_19">
    <w:name w:val="Знак"/>
    <w:basedOn w:val="Normal"/>
    <w:next w:val="UserStyle_19"/>
    <w:link w:val="Normal"/>
    <w:pPr>
      <w:spacing w:before="0" w:after="160" w:line="240" w:lineRule="exact"/>
    </w:pPr>
    <w:rPr>
      <w:sz w:val="20"/>
      <w:szCs w:val="20"/>
    </w:rPr>
  </w:style>
  <w:style w:type="paragraph" w:styleId="UserStyle_20">
    <w:name w:val="ConsPlusTitle"/>
    <w:next w:val="UserStyle_20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1">
    <w:name w:val="Style1"/>
    <w:basedOn w:val="Normal"/>
    <w:next w:val="UserStyle_21"/>
    <w:link w:val="Normal"/>
    <w:pPr>
      <w:widowControl w:val="off"/>
    </w:pPr>
    <w:rPr>
      <w:sz w:val="24"/>
    </w:rPr>
  </w:style>
  <w:style w:type="paragraph" w:styleId="UserStyle_22">
    <w:name w:val="письмо"/>
    <w:basedOn w:val="Normal"/>
    <w:next w:val="UserStyle_22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3">
    <w:name w:val="ConsPlusNonformat"/>
    <w:next w:val="UserStyle_23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4">
    <w:name w:val="Текст выноски"/>
    <w:basedOn w:val="Normal"/>
    <w:next w:val="UserStyle_24"/>
    <w:link w:val="Normal"/>
    <w:rPr>
      <w:rFonts w:ascii="Segoe UI" w:hAnsi="Segoe UI" w:cs="Segoe UI"/>
      <w:sz w:val="18"/>
      <w:szCs w:val="18"/>
    </w:rPr>
  </w:style>
  <w:style w:type="paragraph" w:styleId="UserStyle_25">
    <w:name w:val="Содержимое таблицы"/>
    <w:basedOn w:val="Normal"/>
    <w:next w:val="UserStyle_25"/>
    <w:link w:val="Normal"/>
    <w:pPr>
      <w:suppressLineNumbers/>
    </w:pPr>
  </w:style>
  <w:style w:type="paragraph" w:styleId="UserStyle_26">
    <w:name w:val="Заголовок таблицы"/>
    <w:basedOn w:val="UserStyle_25"/>
    <w:next w:val="UserStyle_26"/>
    <w:link w:val="Normal"/>
    <w:pPr>
      <w:suppressLineNumbers/>
      <w:jc w:val="center"/>
    </w:pPr>
    <w:rPr>
      <w:b/>
      <w:bCs/>
    </w:rPr>
  </w:style>
  <w:style w:type="paragraph" w:styleId="UserStyle_27">
    <w:name w:val="ConsPlusNormal"/>
    <w:next w:val="UserStyle_27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42</cp:revision>
  <dcterms:created xsi:type="dcterms:W3CDTF">2022-08-04T05:59:00Z</dcterms:created>
  <dcterms:modified xsi:type="dcterms:W3CDTF">2024-08-09T12:08:00Z</dcterms:modified>
</cp:coreProperties>
</file>