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center"/>
        <w:widowControl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</w: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619"/>
        <w:jc w:val="center"/>
        <w:widowControl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ПЕТРОВСКОГО райОНА</w: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619"/>
        <w:jc w:val="center"/>
        <w:widowControl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619"/>
        <w:numPr>
          <w:ilvl w:val="0"/>
          <w:numId w:val="0"/>
        </w:numPr>
        <w:ind w:left="0" w:right="0" w:firstLine="0"/>
        <w:jc w:val="center"/>
        <w:keepNext/>
        <w:widowControl/>
      </w:pPr>
      <w:r>
        <w:rPr>
          <w:b/>
          <w:bCs/>
          <w:spacing w:val="60"/>
          <w:sz w:val="28"/>
          <w:szCs w:val="28"/>
        </w:rPr>
        <w:t xml:space="preserve">ПОСТАНОВЛЕНИЕ</w:t>
      </w:r>
      <w:r/>
    </w:p>
    <w:p>
      <w:pPr>
        <w:pStyle w:val="619"/>
      </w:pPr>
      <w:r/>
      <w:r/>
    </w:p>
    <w:p>
      <w:pPr>
        <w:pStyle w:val="619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15 июля </w:t>
      </w:r>
      <w:r>
        <w:rPr>
          <w:sz w:val="28"/>
          <w:szCs w:val="28"/>
        </w:rPr>
        <w:t xml:space="preserve">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4 </w:t>
      </w:r>
      <w:r>
        <w:rPr>
          <w:sz w:val="28"/>
          <w:szCs w:val="28"/>
        </w:rPr>
        <w:t xml:space="preserve">года</w:t>
        <w:tab/>
        <w:tab/>
        <w:t xml:space="preserve">г.Светлоград</w:t>
        <w:tab/>
        <w:tab/>
        <w:tab/>
        <w:tab/>
        <w:t xml:space="preserve">№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73/520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numPr>
          <w:ilvl w:val="0"/>
          <w:numId w:val="1"/>
        </w:numPr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spacing w:line="283" w:lineRule="exact"/>
        <w:rPr>
          <w:rFonts w:eastAsia="Times New Roman CYR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графике работы участковых избирательных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комиссий </w:t>
      </w:r>
      <w:r>
        <w:rPr>
          <w:b w:val="0"/>
          <w:sz w:val="28"/>
          <w:szCs w:val="28"/>
          <w:lang w:val="ru-RU"/>
        </w:rPr>
        <w:t xml:space="preserve">сформированных на территории Петровского района </w:t>
      </w:r>
      <w:r>
        <w:rPr>
          <w:b w:val="0"/>
          <w:sz w:val="28"/>
          <w:szCs w:val="28"/>
        </w:rPr>
        <w:t xml:space="preserve">на выборах Губернатора Ставропольского края, назначенных на 8 сентября 2024 года </w:t>
      </w:r>
      <w:r>
        <w:rPr>
          <w:rFonts w:eastAsia="Times New Roman CYR"/>
          <w:b w:val="0"/>
          <w:sz w:val="28"/>
          <w:szCs w:val="28"/>
        </w:rPr>
      </w:r>
      <w:r>
        <w:rPr>
          <w:rFonts w:eastAsia="Times New Roman CYR"/>
          <w:b w:val="0"/>
          <w:sz w:val="28"/>
          <w:szCs w:val="28"/>
        </w:rPr>
      </w:r>
    </w:p>
    <w:p>
      <w:pPr>
        <w:pStyle w:val="693"/>
        <w:spacing w:line="240" w:lineRule="auto"/>
        <w:rPr>
          <w:rFonts w:ascii="Times New Roman" w:hAnsi="Times New Roman" w:cs="Times New Roman"/>
          <w:bCs/>
          <w:color w:val="000000"/>
          <w:shd w:val="clear" w:color="auto" w:fill="auto"/>
          <w:lang w:val="ru-RU"/>
        </w:rPr>
      </w:pPr>
      <w:r>
        <w:rPr>
          <w:rFonts w:eastAsia="Times New Roman CYR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auto"/>
          <w:lang w:val="ru-RU"/>
        </w:rPr>
      </w:r>
      <w:r>
        <w:rPr>
          <w:rFonts w:ascii="Times New Roman" w:hAnsi="Times New Roman" w:cs="Times New Roman"/>
          <w:bCs/>
          <w:color w:val="000000"/>
          <w:shd w:val="clear" w:color="auto" w:fill="auto"/>
          <w:lang w:val="ru-RU"/>
        </w:rPr>
      </w:r>
    </w:p>
    <w:p>
      <w:pPr>
        <w:pStyle w:val="698"/>
        <w:ind w:right="0" w:firstLine="651"/>
        <w:jc w:val="both"/>
        <w:keepLines/>
        <w:spacing w:line="360" w:lineRule="auto"/>
        <w:rPr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shd w:val="clear" w:color="auto" w:fill="auto"/>
          <w:lang w:val="ru-RU"/>
        </w:rPr>
        <w:t xml:space="preserve">В соответствии с пунктом 16 статьи 64 Федерального закона «Об основных гарантиях избирательных прав и права на участие в референдуме граждан Российской Федерации», пунктами 2.2 и 2.3 Порядка </w:t>
      </w:r>
      <w:r>
        <w:rPr>
          <w:rFonts w:ascii="Times New Roman" w:hAnsi="Times New Roman" w:cs="Times New Roman"/>
          <w:bCs/>
          <w:color w:val="000000"/>
          <w:szCs w:val="28"/>
          <w:shd w:val="clear" w:color="auto" w:fill="auto"/>
          <w:lang w:val="ru-RU"/>
        </w:rPr>
        <w:t xml:space="preserve">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</w:r>
      <w:r>
        <w:rPr>
          <w:rFonts w:ascii="Times New Roman" w:hAnsi="Times New Roman" w:cs="Times New Roman"/>
          <w:bCs/>
          <w:color w:val="000000"/>
          <w:shd w:val="clear" w:color="auto" w:fill="auto"/>
          <w:lang w:val="ru-RU"/>
        </w:rPr>
        <w:t xml:space="preserve">, утвержденного постановлением Центральной избирательной комиссии Российской Федерации от 22 июня 2022 г. № 87/728-8,</w:t>
      </w:r>
      <w:r>
        <w:rPr>
          <w:bCs/>
          <w:color w:val="000000"/>
          <w:shd w:val="clear" w:color="auto" w:fill="auto"/>
          <w:lang w:val="ru-RU"/>
        </w:rPr>
        <w:t xml:space="preserve"> постановлением избирательной комиссии Ставропольского края от 27 июня 2024 г. № 88/666-7 «О графике работы территориал</w:t>
      </w:r>
      <w:r>
        <w:rPr>
          <w:bCs/>
          <w:color w:val="000000"/>
          <w:shd w:val="clear" w:color="auto" w:fill="auto"/>
          <w:lang w:val="ru-RU"/>
        </w:rPr>
        <w:t xml:space="preserve">ьных и участковых избирательных комиссий по приему заявлений избирателей о включении в список избирателей по месту нахождения на выборах Губернатора Ставропольского края, назначенных на 8 сентября», территориальная избирательная комиссия Петровского района</w:t>
      </w:r>
      <w:r>
        <w:rPr>
          <w:bCs/>
          <w:color w:val="000000"/>
          <w:lang w:val="ru-RU"/>
        </w:rPr>
      </w:r>
      <w:r>
        <w:rPr>
          <w:bCs/>
          <w:color w:val="000000"/>
          <w:lang w:val="ru-RU"/>
        </w:rPr>
      </w:r>
    </w:p>
    <w:p>
      <w:pPr>
        <w:pStyle w:val="698"/>
        <w:ind w:right="0" w:firstLine="651"/>
        <w:jc w:val="both"/>
        <w:keepLines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</w:r>
      <w:r>
        <w:rPr>
          <w:bCs/>
          <w:color w:val="000000"/>
          <w:lang w:val="ru-RU"/>
        </w:rPr>
      </w:r>
    </w:p>
    <w:p>
      <w:pPr>
        <w:pStyle w:val="620"/>
        <w:numPr>
          <w:ilvl w:val="0"/>
          <w:numId w:val="1"/>
        </w:numPr>
        <w:ind w:right="0" w:firstLine="0"/>
        <w:spacing w:line="228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91"/>
        <w:spacing w:line="22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89"/>
        <w:ind w:right="144" w:firstLine="564"/>
        <w:spacing w:line="276" w:lineRule="auto"/>
        <w:rPr>
          <w:szCs w:val="28"/>
        </w:rPr>
      </w:pPr>
      <w:r>
        <w:rPr>
          <w:szCs w:val="28"/>
        </w:rPr>
        <w:t xml:space="preserve">1. Определить график работы участковых избирательных комиссий, сформированных на территории Петровского района на выборах Губернатора Ставропольского края 8 сентября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2024 года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pStyle w:val="689"/>
        <w:ind w:right="144" w:firstLine="564"/>
        <w:spacing w:line="276" w:lineRule="auto"/>
      </w:pPr>
      <w:r>
        <w:rPr>
          <w:szCs w:val="28"/>
        </w:rPr>
        <w:t xml:space="preserve">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28 августа</w:t>
      </w:r>
      <w:r>
        <w:rPr>
          <w:szCs w:val="28"/>
        </w:rPr>
        <w:t xml:space="preserve"> 2024 года по </w:t>
      </w:r>
      <w:r>
        <w:rPr>
          <w:szCs w:val="28"/>
        </w:rPr>
        <w:t xml:space="preserve">5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сентября</w:t>
      </w:r>
      <w:r>
        <w:rPr>
          <w:szCs w:val="28"/>
        </w:rPr>
        <w:t xml:space="preserve"> 2024 года в рабочие дни (понедельник - пятница) - с 10.00 до 18.00 часов, в выходные дни (суббота, воскресенье)  - с 08.00 до 16.00 часов.</w:t>
      </w:r>
      <w:r/>
    </w:p>
    <w:p>
      <w:pPr>
        <w:pStyle w:val="689"/>
        <w:ind w:right="144" w:firstLine="564"/>
        <w:spacing w:line="276" w:lineRule="auto"/>
      </w:pPr>
      <w:r/>
      <w:r/>
    </w:p>
    <w:p>
      <w:pPr>
        <w:pStyle w:val="689"/>
        <w:ind w:right="144" w:firstLine="70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2.  Определить график работы участковых избирательных комиссий </w:t>
      </w:r>
      <w:r>
        <w:rPr>
          <w:b/>
          <w:szCs w:val="28"/>
        </w:rPr>
        <w:t xml:space="preserve">по приему заявлений избирателей о включении в список избирателей по месту нахождения</w:t>
      </w:r>
      <w:r>
        <w:rPr>
          <w:szCs w:val="28"/>
        </w:rPr>
        <w:t xml:space="preserve"> на выборах Губернатора Ставропольского края 2024 года: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09"/>
        <w:jc w:val="both"/>
        <w:spacing w:line="276" w:lineRule="auto"/>
        <w:tabs>
          <w:tab w:val="left" w:pos="56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28 августа 2024 года по 2 сентября 2024 года в рабочие дни (понедельник - пятница) - с 14.00 до 18.00 часов, в выходные дни (суббота, воскресенье) - с 10.00 до 14.00 часов.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09"/>
        <w:jc w:val="both"/>
        <w:spacing w:line="276" w:lineRule="auto"/>
        <w:tabs>
          <w:tab w:val="left" w:pos="56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9"/>
        <w:ind w:right="144" w:firstLine="706"/>
        <w:spacing w:line="276" w:lineRule="auto"/>
      </w:pPr>
      <w:r>
        <w:rPr>
          <w:szCs w:val="28"/>
        </w:rPr>
        <w:t xml:space="preserve">3. Направить настоящее постановление в участковые избирательные комиссии, сформированные на территории Петровского района.</w:t>
      </w:r>
      <w:r/>
    </w:p>
    <w:p>
      <w:pPr>
        <w:pStyle w:val="689"/>
        <w:ind w:right="144" w:firstLine="706"/>
        <w:spacing w:line="276" w:lineRule="auto"/>
      </w:pPr>
      <w:r/>
      <w:r/>
    </w:p>
    <w:p>
      <w:pPr>
        <w:pStyle w:val="689"/>
        <w:ind w:right="144" w:firstLine="706"/>
        <w:spacing w:line="276" w:lineRule="auto"/>
        <w:rPr>
          <w:sz w:val="28"/>
          <w:szCs w:val="28"/>
        </w:rPr>
      </w:pPr>
      <w:r>
        <w:rPr>
          <w:szCs w:val="28"/>
        </w:rPr>
        <w:t xml:space="preserve">4. Разместить настоящее постановление на официальном сайте администрации Петровского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муниципального</w:t>
      </w:r>
      <w:r>
        <w:rPr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47"/>
        <w:gridCol w:w="360"/>
        <w:gridCol w:w="2934"/>
        <w:gridCol w:w="306"/>
        <w:gridCol w:w="3523"/>
      </w:tblGrid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</w:rPr>
              <w:t xml:space="preserve">Председатель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Ю.В.Петрич</w:t>
            </w:r>
            <w:r/>
          </w:p>
        </w:tc>
      </w:tr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  <w:vertAlign w:val="superscript"/>
              </w:rPr>
              <w:t xml:space="preserve">(подпись)</w:t>
            </w:r>
            <w:r/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  <w:vertAlign w:val="superscript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  <w:p>
            <w:pPr>
              <w:pStyle w:val="619"/>
            </w:pPr>
            <w:r>
              <w:rPr>
                <w:bCs/>
                <w:sz w:val="28"/>
                <w:szCs w:val="28"/>
              </w:rPr>
              <w:t xml:space="preserve">Секретарь</w:t>
            </w:r>
            <w:r/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19"/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  <w:lang w:val="ru-RU" w:eastAsia="zh-CN" w:bidi="ar-SA"/>
              </w:rPr>
              <w:t xml:space="preserve">О.В.Сыроватко</w:t>
            </w:r>
            <w:r/>
          </w:p>
        </w:tc>
      </w:tr>
      <w:tr>
        <w:tblPrEx/>
        <w:trPr/>
        <w:tc>
          <w:tcPr>
            <w:tcW w:w="2447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2934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  <w:vertAlign w:val="superscript"/>
              </w:rPr>
              <w:t xml:space="preserve">(подпись)</w:t>
            </w:r>
            <w:r/>
          </w:p>
        </w:tc>
        <w:tc>
          <w:tcPr>
            <w:tcW w:w="306" w:type="dxa"/>
            <w:vAlign w:val="top"/>
            <w:textDirection w:val="lrTb"/>
            <w:noWrap w:val="false"/>
          </w:tcPr>
          <w:p>
            <w:pPr>
              <w:pStyle w:val="619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</w:r>
            <w:r>
              <w:rPr>
                <w:bCs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</w:tcBorders>
            <w:tcW w:w="3523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bCs/>
                <w:sz w:val="28"/>
                <w:szCs w:val="28"/>
                <w:vertAlign w:val="superscript"/>
              </w:rPr>
              <w:t xml:space="preserve">(расшифровка подписи)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left="5670" w:right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985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ohit Devanagari">
    <w:panose1 w:val="02000603000000000000"/>
  </w:font>
  <w:font w:name="Tahoma">
    <w:panose1 w:val="020B0604030504040204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84"/>
    <w:uiPriority w:val="99"/>
  </w:style>
  <w:style w:type="character" w:styleId="45">
    <w:name w:val="Footer Char"/>
    <w:basedOn w:val="11"/>
    <w:link w:val="688"/>
    <w:uiPriority w:val="99"/>
  </w:style>
  <w:style w:type="character" w:styleId="47">
    <w:name w:val="Caption Char"/>
    <w:basedOn w:val="677"/>
    <w:link w:val="688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ind w:left="0" w:right="0" w:firstLine="113"/>
      <w:keepNext/>
      <w:outlineLvl w:val="0"/>
    </w:pPr>
    <w:rPr>
      <w:rFonts w:ascii="Times New Roman CYR" w:hAnsi="Times New Roman CYR" w:cs="Times New Roman CYR"/>
      <w:sz w:val="24"/>
      <w:lang w:val="en-US"/>
    </w:rPr>
  </w:style>
  <w:style w:type="paragraph" w:styleId="621">
    <w:name w:val="Heading 2"/>
    <w:basedOn w:val="619"/>
    <w:next w:val="619"/>
    <w:link w:val="619"/>
    <w:pPr>
      <w:numPr>
        <w:ilvl w:val="1"/>
        <w:numId w:val="1"/>
      </w:numPr>
      <w:keepNext/>
      <w:widowControl/>
      <w:outlineLvl w:val="1"/>
    </w:pPr>
    <w:rPr>
      <w:rFonts w:ascii="Times New Roman CYR" w:hAnsi="Times New Roman CYR" w:cs="Times New Roman CYR"/>
      <w:sz w:val="28"/>
      <w:lang w:val="en-US"/>
    </w:rPr>
  </w:style>
  <w:style w:type="paragraph" w:styleId="622">
    <w:name w:val="Heading 3"/>
    <w:basedOn w:val="619"/>
    <w:next w:val="619"/>
    <w:link w:val="619"/>
    <w:pPr>
      <w:numPr>
        <w:ilvl w:val="2"/>
        <w:numId w:val="1"/>
      </w:numPr>
      <w:jc w:val="both"/>
      <w:keepNext/>
      <w:widowControl/>
      <w:outlineLvl w:val="2"/>
    </w:pPr>
    <w:rPr>
      <w:rFonts w:ascii="Times New Roman CYR" w:hAnsi="Times New Roman CYR" w:cs="Times New Roman CYR"/>
      <w:sz w:val="28"/>
      <w:lang w:val="en-US"/>
    </w:rPr>
  </w:style>
  <w:style w:type="paragraph" w:styleId="623">
    <w:name w:val="Heading 4"/>
    <w:basedOn w:val="619"/>
    <w:next w:val="619"/>
    <w:link w:val="619"/>
    <w:pPr>
      <w:numPr>
        <w:ilvl w:val="3"/>
        <w:numId w:val="1"/>
      </w:numPr>
      <w:ind w:left="57" w:right="0" w:firstLine="0"/>
      <w:keepNext/>
      <w:outlineLvl w:val="3"/>
    </w:pPr>
    <w:rPr>
      <w:sz w:val="28"/>
      <w:lang w:val="en-US"/>
    </w:rPr>
  </w:style>
  <w:style w:type="paragraph" w:styleId="624">
    <w:name w:val="Heading 5"/>
    <w:basedOn w:val="619"/>
    <w:next w:val="619"/>
    <w:link w:val="619"/>
    <w:pPr>
      <w:numPr>
        <w:ilvl w:val="4"/>
        <w:numId w:val="1"/>
      </w:numPr>
      <w:ind w:left="0" w:right="3" w:firstLine="0"/>
      <w:keepNext/>
      <w:spacing w:line="240" w:lineRule="exact"/>
      <w:widowControl/>
      <w:outlineLvl w:val="4"/>
    </w:pPr>
    <w:rPr>
      <w:sz w:val="28"/>
      <w:lang w:val="en-US"/>
    </w:rPr>
  </w:style>
  <w:style w:type="paragraph" w:styleId="625">
    <w:name w:val="Heading 6"/>
    <w:basedOn w:val="619"/>
    <w:next w:val="619"/>
    <w:link w:val="619"/>
    <w:pPr>
      <w:numPr>
        <w:ilvl w:val="5"/>
        <w:numId w:val="1"/>
      </w:numPr>
      <w:ind w:left="57" w:right="0" w:firstLine="0"/>
      <w:keepNext/>
      <w:outlineLvl w:val="5"/>
    </w:pPr>
    <w:rPr>
      <w:rFonts w:ascii="Times New Roman CYR" w:hAnsi="Times New Roman CYR" w:cs="Times New Roman CYR"/>
      <w:color w:val="ff0000"/>
      <w:sz w:val="28"/>
      <w:lang w:val="en-US"/>
    </w:rPr>
  </w:style>
  <w:style w:type="paragraph" w:styleId="626">
    <w:name w:val="Heading 7"/>
    <w:basedOn w:val="619"/>
    <w:next w:val="619"/>
    <w:link w:val="619"/>
    <w:pPr>
      <w:numPr>
        <w:ilvl w:val="6"/>
        <w:numId w:val="1"/>
      </w:numPr>
      <w:ind w:left="57" w:right="57" w:firstLine="0"/>
      <w:keepNext/>
      <w:outlineLvl w:val="6"/>
    </w:pPr>
    <w:rPr>
      <w:rFonts w:ascii="Times New Roman CYR" w:hAnsi="Times New Roman CYR" w:cs="Times New Roman CYR"/>
      <w:sz w:val="28"/>
      <w:lang w:val="en-US"/>
    </w:rPr>
  </w:style>
  <w:style w:type="character" w:styleId="627">
    <w:name w:val="WW8Num1z0"/>
    <w:next w:val="627"/>
    <w:link w:val="619"/>
  </w:style>
  <w:style w:type="character" w:styleId="628">
    <w:name w:val="WW8Num1z1"/>
    <w:next w:val="628"/>
    <w:link w:val="619"/>
  </w:style>
  <w:style w:type="character" w:styleId="629">
    <w:name w:val="WW8Num1z2"/>
    <w:next w:val="629"/>
    <w:link w:val="619"/>
  </w:style>
  <w:style w:type="character" w:styleId="630">
    <w:name w:val="WW8Num1z3"/>
    <w:next w:val="630"/>
    <w:link w:val="619"/>
  </w:style>
  <w:style w:type="character" w:styleId="631">
    <w:name w:val="WW8Num1z4"/>
    <w:next w:val="631"/>
    <w:link w:val="619"/>
  </w:style>
  <w:style w:type="character" w:styleId="632">
    <w:name w:val="WW8Num1z5"/>
    <w:next w:val="632"/>
    <w:link w:val="619"/>
  </w:style>
  <w:style w:type="character" w:styleId="633">
    <w:name w:val="WW8Num1z6"/>
    <w:next w:val="633"/>
    <w:link w:val="619"/>
  </w:style>
  <w:style w:type="character" w:styleId="634">
    <w:name w:val="WW8Num1z7"/>
    <w:next w:val="634"/>
    <w:link w:val="619"/>
  </w:style>
  <w:style w:type="character" w:styleId="635">
    <w:name w:val="WW8Num1z8"/>
    <w:next w:val="635"/>
    <w:link w:val="619"/>
  </w:style>
  <w:style w:type="character" w:styleId="636">
    <w:name w:val="WW8Num2z0"/>
    <w:next w:val="636"/>
    <w:link w:val="619"/>
  </w:style>
  <w:style w:type="character" w:styleId="637">
    <w:name w:val="WW8Num2z1"/>
    <w:next w:val="637"/>
    <w:link w:val="619"/>
  </w:style>
  <w:style w:type="character" w:styleId="638">
    <w:name w:val="WW8Num2z2"/>
    <w:next w:val="638"/>
    <w:link w:val="619"/>
  </w:style>
  <w:style w:type="character" w:styleId="639">
    <w:name w:val="WW8Num2z3"/>
    <w:next w:val="639"/>
    <w:link w:val="619"/>
  </w:style>
  <w:style w:type="character" w:styleId="640">
    <w:name w:val="WW8Num2z4"/>
    <w:next w:val="640"/>
    <w:link w:val="619"/>
  </w:style>
  <w:style w:type="character" w:styleId="641">
    <w:name w:val="WW8Num2z5"/>
    <w:next w:val="641"/>
    <w:link w:val="619"/>
  </w:style>
  <w:style w:type="character" w:styleId="642">
    <w:name w:val="WW8Num2z6"/>
    <w:next w:val="642"/>
    <w:link w:val="619"/>
  </w:style>
  <w:style w:type="character" w:styleId="643">
    <w:name w:val="WW8Num2z7"/>
    <w:next w:val="643"/>
    <w:link w:val="619"/>
  </w:style>
  <w:style w:type="character" w:styleId="644">
    <w:name w:val="WW8Num2z8"/>
    <w:next w:val="644"/>
    <w:link w:val="619"/>
  </w:style>
  <w:style w:type="character" w:styleId="645">
    <w:name w:val="WW8Num3z0"/>
    <w:next w:val="645"/>
    <w:link w:val="619"/>
  </w:style>
  <w:style w:type="character" w:styleId="646">
    <w:name w:val="WW8Num3z1"/>
    <w:next w:val="646"/>
    <w:link w:val="619"/>
  </w:style>
  <w:style w:type="character" w:styleId="647">
    <w:name w:val="WW8Num3z2"/>
    <w:next w:val="647"/>
    <w:link w:val="619"/>
  </w:style>
  <w:style w:type="character" w:styleId="648">
    <w:name w:val="WW8Num3z3"/>
    <w:next w:val="648"/>
    <w:link w:val="619"/>
  </w:style>
  <w:style w:type="character" w:styleId="649">
    <w:name w:val="WW8Num3z4"/>
    <w:next w:val="649"/>
    <w:link w:val="619"/>
  </w:style>
  <w:style w:type="character" w:styleId="650">
    <w:name w:val="WW8Num3z5"/>
    <w:next w:val="650"/>
    <w:link w:val="619"/>
  </w:style>
  <w:style w:type="character" w:styleId="651">
    <w:name w:val="WW8Num3z6"/>
    <w:next w:val="651"/>
    <w:link w:val="619"/>
  </w:style>
  <w:style w:type="character" w:styleId="652">
    <w:name w:val="WW8Num3z7"/>
    <w:next w:val="652"/>
    <w:link w:val="619"/>
  </w:style>
  <w:style w:type="character" w:styleId="653">
    <w:name w:val="WW8Num3z8"/>
    <w:next w:val="653"/>
    <w:link w:val="619"/>
  </w:style>
  <w:style w:type="character" w:styleId="654">
    <w:name w:val="WW8Num4z0"/>
    <w:next w:val="654"/>
    <w:link w:val="619"/>
  </w:style>
  <w:style w:type="character" w:styleId="655">
    <w:name w:val="Основной шрифт абзаца"/>
    <w:next w:val="655"/>
    <w:link w:val="619"/>
  </w:style>
  <w:style w:type="character" w:styleId="656">
    <w:name w:val="Page Number"/>
    <w:basedOn w:val="655"/>
    <w:next w:val="656"/>
    <w:link w:val="619"/>
  </w:style>
  <w:style w:type="character" w:styleId="657">
    <w:name w:val="Текст выноски Знак"/>
    <w:next w:val="657"/>
    <w:link w:val="619"/>
    <w:rPr>
      <w:rFonts w:ascii="Tahoma" w:hAnsi="Tahoma" w:cs="Tahoma"/>
      <w:sz w:val="16"/>
      <w:szCs w:val="16"/>
    </w:rPr>
  </w:style>
  <w:style w:type="character" w:styleId="658">
    <w:name w:val="Заголовок 4 Знак"/>
    <w:next w:val="658"/>
    <w:link w:val="619"/>
    <w:rPr>
      <w:sz w:val="28"/>
    </w:rPr>
  </w:style>
  <w:style w:type="character" w:styleId="659">
    <w:name w:val="Заголовок 7 Знак"/>
    <w:next w:val="659"/>
    <w:link w:val="619"/>
    <w:rPr>
      <w:rFonts w:ascii="Times New Roman CYR" w:hAnsi="Times New Roman CYR" w:cs="Times New Roman CYR"/>
      <w:sz w:val="28"/>
    </w:rPr>
  </w:style>
  <w:style w:type="character" w:styleId="660">
    <w:name w:val="Заголовок 6 Знак"/>
    <w:next w:val="660"/>
    <w:link w:val="619"/>
    <w:rPr>
      <w:rFonts w:ascii="Times New Roman CYR" w:hAnsi="Times New Roman CYR" w:cs="Times New Roman CYR"/>
      <w:color w:val="ff0000"/>
      <w:sz w:val="28"/>
    </w:rPr>
  </w:style>
  <w:style w:type="character" w:styleId="661">
    <w:name w:val="Верхний колонтитул Знак"/>
    <w:next w:val="661"/>
    <w:link w:val="619"/>
    <w:rPr>
      <w:sz w:val="28"/>
    </w:rPr>
  </w:style>
  <w:style w:type="character" w:styleId="662">
    <w:name w:val="Нижний колонтитул Знак"/>
    <w:basedOn w:val="655"/>
    <w:next w:val="662"/>
    <w:link w:val="619"/>
  </w:style>
  <w:style w:type="character" w:styleId="663">
    <w:name w:val="Основной текст с отступом Знак"/>
    <w:next w:val="663"/>
    <w:link w:val="619"/>
    <w:rPr>
      <w:rFonts w:ascii="Times New Roman CYR" w:hAnsi="Times New Roman CYR" w:cs="Times New Roman CYR"/>
      <w:sz w:val="24"/>
    </w:rPr>
  </w:style>
  <w:style w:type="character" w:styleId="664">
    <w:name w:val="Основной текст 2 Знак"/>
    <w:next w:val="664"/>
    <w:rPr>
      <w:rFonts w:ascii="Times New Roman CYR" w:hAnsi="Times New Roman CYR" w:cs="Times New Roman CYR"/>
      <w:b/>
      <w:sz w:val="24"/>
    </w:rPr>
  </w:style>
  <w:style w:type="character" w:styleId="665">
    <w:name w:val="Основной текст 3 Знак"/>
    <w:basedOn w:val="655"/>
    <w:next w:val="665"/>
    <w:link w:val="619"/>
  </w:style>
  <w:style w:type="character" w:styleId="666">
    <w:name w:val="Основной текст с отступом 2 Знак"/>
    <w:next w:val="666"/>
    <w:link w:val="619"/>
    <w:rPr>
      <w:color w:val="0000ff"/>
      <w:sz w:val="28"/>
      <w:szCs w:val="28"/>
    </w:rPr>
  </w:style>
  <w:style w:type="character" w:styleId="667">
    <w:name w:val="Основной текст с отступом 3 Знак"/>
    <w:next w:val="667"/>
    <w:rPr>
      <w:color w:val="ff0000"/>
      <w:sz w:val="28"/>
      <w:szCs w:val="28"/>
    </w:rPr>
  </w:style>
  <w:style w:type="character" w:styleId="668">
    <w:name w:val="Заголовок 1 Знак"/>
    <w:next w:val="668"/>
    <w:rPr>
      <w:rFonts w:ascii="Times New Roman CYR" w:hAnsi="Times New Roman CYR" w:cs="Times New Roman CYR"/>
      <w:sz w:val="24"/>
    </w:rPr>
  </w:style>
  <w:style w:type="character" w:styleId="669">
    <w:name w:val="Заголовок 2 Знак"/>
    <w:next w:val="669"/>
    <w:link w:val="619"/>
    <w:rPr>
      <w:rFonts w:ascii="Times New Roman CYR" w:hAnsi="Times New Roman CYR" w:cs="Times New Roman CYR"/>
      <w:sz w:val="28"/>
    </w:rPr>
  </w:style>
  <w:style w:type="character" w:styleId="670">
    <w:name w:val="Заголовок 3 Знак"/>
    <w:next w:val="670"/>
    <w:link w:val="619"/>
    <w:rPr>
      <w:rFonts w:ascii="Times New Roman CYR" w:hAnsi="Times New Roman CYR" w:cs="Times New Roman CYR"/>
      <w:sz w:val="28"/>
    </w:rPr>
  </w:style>
  <w:style w:type="character" w:styleId="671">
    <w:name w:val="Заголовок 5 Знак"/>
    <w:next w:val="671"/>
    <w:link w:val="619"/>
    <w:rPr>
      <w:sz w:val="28"/>
    </w:rPr>
  </w:style>
  <w:style w:type="character" w:styleId="672">
    <w:name w:val="Основной текст Знак"/>
    <w:next w:val="672"/>
    <w:link w:val="619"/>
    <w:rPr>
      <w:rFonts w:ascii="Times New Roman CYR" w:hAnsi="Times New Roman CYR" w:cs="Times New Roman CYR"/>
      <w:sz w:val="28"/>
    </w:rPr>
  </w:style>
  <w:style w:type="character" w:styleId="673">
    <w:name w:val="Название Знак"/>
    <w:next w:val="673"/>
    <w:link w:val="619"/>
    <w:rPr>
      <w:rFonts w:ascii="Times New Roman CYR" w:hAnsi="Times New Roman CYR" w:cs="Times New Roman CYR"/>
      <w:sz w:val="28"/>
    </w:rPr>
  </w:style>
  <w:style w:type="paragraph" w:styleId="674">
    <w:name w:val="Заголовок"/>
    <w:basedOn w:val="619"/>
    <w:next w:val="675"/>
    <w:link w:val="619"/>
    <w:pPr>
      <w:jc w:val="center"/>
      <w:widowControl/>
    </w:pPr>
    <w:rPr>
      <w:rFonts w:ascii="Times New Roman CYR" w:hAnsi="Times New Roman CYR" w:cs="Times New Roman CYR"/>
      <w:sz w:val="28"/>
      <w:lang w:val="en-US"/>
    </w:rPr>
  </w:style>
  <w:style w:type="paragraph" w:styleId="675">
    <w:name w:val="Body Text"/>
    <w:basedOn w:val="619"/>
    <w:next w:val="675"/>
    <w:link w:val="619"/>
    <w:pPr>
      <w:ind w:left="0" w:right="4252" w:firstLine="0"/>
      <w:spacing w:line="240" w:lineRule="exact"/>
      <w:widowControl/>
    </w:pPr>
    <w:rPr>
      <w:rFonts w:ascii="Times New Roman CYR" w:hAnsi="Times New Roman CYR" w:cs="Times New Roman CYR"/>
      <w:sz w:val="28"/>
      <w:lang w:val="en-US"/>
    </w:rPr>
  </w:style>
  <w:style w:type="paragraph" w:styleId="676">
    <w:name w:val="List"/>
    <w:basedOn w:val="675"/>
    <w:next w:val="676"/>
    <w:link w:val="619"/>
    <w:rPr>
      <w:rFonts w:cs="Lohit Devanagari"/>
    </w:rPr>
  </w:style>
  <w:style w:type="paragraph" w:styleId="677">
    <w:name w:val="Caption"/>
    <w:basedOn w:val="619"/>
    <w:next w:val="677"/>
    <w:link w:val="619"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78">
    <w:name w:val="Указатель"/>
    <w:basedOn w:val="619"/>
    <w:next w:val="678"/>
    <w:link w:val="619"/>
    <w:pPr>
      <w:suppressLineNumbers/>
    </w:pPr>
    <w:rPr>
      <w:rFonts w:cs="Lohit Devanagari"/>
    </w:rPr>
  </w:style>
  <w:style w:type="paragraph" w:styleId="679">
    <w:name w:val="Caption1"/>
    <w:basedOn w:val="619"/>
    <w:next w:val="679"/>
    <w:link w:val="619"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80">
    <w:name w:val="Caption11"/>
    <w:basedOn w:val="619"/>
    <w:next w:val="680"/>
    <w:link w:val="61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81">
    <w:name w:val="Верхний и нижний колонтитулы"/>
    <w:basedOn w:val="619"/>
    <w:next w:val="681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82">
    <w:name w:val="Колонтитул"/>
    <w:basedOn w:val="619"/>
    <w:next w:val="682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83">
    <w:name w:val="Header and Footer"/>
    <w:basedOn w:val="619"/>
    <w:next w:val="683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84">
    <w:name w:val="Header"/>
    <w:basedOn w:val="619"/>
    <w:next w:val="684"/>
    <w:link w:val="619"/>
    <w:pPr>
      <w:widowControl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paragraph" w:styleId="685">
    <w:name w:val="Block Text"/>
    <w:basedOn w:val="619"/>
    <w:next w:val="685"/>
    <w:link w:val="619"/>
    <w:pPr>
      <w:ind w:left="130" w:right="85" w:firstLine="0"/>
      <w:jc w:val="center"/>
      <w:widowControl/>
    </w:pPr>
    <w:rPr>
      <w:rFonts w:ascii="Times New Roman CYR" w:hAnsi="Times New Roman CYR" w:cs="Times New Roman CYR"/>
      <w:sz w:val="28"/>
    </w:rPr>
  </w:style>
  <w:style w:type="paragraph" w:styleId="686">
    <w:name w:val="Body Text 2"/>
    <w:basedOn w:val="619"/>
    <w:next w:val="686"/>
    <w:link w:val="619"/>
    <w:pPr>
      <w:jc w:val="center"/>
      <w:spacing w:line="160" w:lineRule="atLeast"/>
      <w:widowControl/>
    </w:pPr>
    <w:rPr>
      <w:rFonts w:ascii="Times New Roman CYR" w:hAnsi="Times New Roman CYR" w:cs="Times New Roman CYR"/>
      <w:b/>
      <w:sz w:val="28"/>
    </w:rPr>
  </w:style>
  <w:style w:type="paragraph" w:styleId="687">
    <w:name w:val="Body Text 3"/>
    <w:basedOn w:val="619"/>
    <w:next w:val="687"/>
    <w:link w:val="619"/>
    <w:pPr>
      <w:jc w:val="center"/>
      <w:widowControl/>
    </w:pPr>
    <w:rPr>
      <w:rFonts w:ascii="Times New Roman CYR" w:hAnsi="Times New Roman CYR" w:cs="Times New Roman CYR"/>
      <w:b/>
      <w:sz w:val="28"/>
    </w:rPr>
  </w:style>
  <w:style w:type="paragraph" w:styleId="688">
    <w:name w:val="Footer"/>
    <w:basedOn w:val="619"/>
    <w:next w:val="688"/>
    <w:link w:val="619"/>
    <w:pPr>
      <w:tabs>
        <w:tab w:val="center" w:pos="4677" w:leader="none"/>
        <w:tab w:val="right" w:pos="9355" w:leader="none"/>
      </w:tabs>
    </w:pPr>
  </w:style>
  <w:style w:type="paragraph" w:styleId="689">
    <w:name w:val="Цитата"/>
    <w:basedOn w:val="619"/>
    <w:next w:val="689"/>
    <w:link w:val="619"/>
    <w:pPr>
      <w:ind w:left="3" w:right="144" w:firstLine="848"/>
      <w:jc w:val="both"/>
      <w:widowControl/>
    </w:pPr>
    <w:rPr>
      <w:sz w:val="28"/>
    </w:rPr>
  </w:style>
  <w:style w:type="paragraph" w:styleId="690">
    <w:name w:val="Body Text Indent"/>
    <w:basedOn w:val="619"/>
    <w:next w:val="690"/>
    <w:link w:val="619"/>
    <w:pPr>
      <w:ind w:left="5670" w:right="0" w:firstLine="0"/>
      <w:jc w:val="center"/>
      <w:widowControl/>
    </w:pPr>
    <w:rPr>
      <w:rFonts w:ascii="Times New Roman CYR" w:hAnsi="Times New Roman CYR" w:cs="Times New Roman CYR"/>
      <w:sz w:val="24"/>
      <w:lang w:val="en-US"/>
    </w:rPr>
  </w:style>
  <w:style w:type="paragraph" w:styleId="691">
    <w:name w:val="Норм"/>
    <w:basedOn w:val="619"/>
    <w:next w:val="691"/>
    <w:link w:val="619"/>
    <w:pPr>
      <w:jc w:val="center"/>
      <w:widowControl/>
    </w:pPr>
    <w:rPr>
      <w:sz w:val="28"/>
      <w:szCs w:val="24"/>
    </w:rPr>
  </w:style>
  <w:style w:type="paragraph" w:styleId="692">
    <w:name w:val="Название объекта"/>
    <w:basedOn w:val="619"/>
    <w:next w:val="619"/>
    <w:link w:val="619"/>
    <w:pPr>
      <w:widowControl/>
    </w:pPr>
    <w:rPr>
      <w:sz w:val="24"/>
    </w:rPr>
  </w:style>
  <w:style w:type="paragraph" w:styleId="693">
    <w:name w:val="Основной текст 2"/>
    <w:basedOn w:val="619"/>
    <w:next w:val="693"/>
    <w:link w:val="619"/>
    <w:pPr>
      <w:jc w:val="center"/>
      <w:spacing w:line="240" w:lineRule="exact"/>
      <w:widowControl/>
    </w:pPr>
    <w:rPr>
      <w:rFonts w:ascii="Times New Roman CYR" w:hAnsi="Times New Roman CYR" w:cs="Times New Roman CYR"/>
      <w:b/>
      <w:sz w:val="24"/>
      <w:lang w:val="en-US"/>
    </w:rPr>
  </w:style>
  <w:style w:type="paragraph" w:styleId="694">
    <w:name w:val="Oaeno 14-1.51"/>
    <w:basedOn w:val="619"/>
    <w:next w:val="694"/>
    <w:link w:val="619"/>
    <w:pPr>
      <w:ind w:left="0" w:right="0" w:firstLine="709"/>
      <w:jc w:val="both"/>
      <w:spacing w:line="360" w:lineRule="auto"/>
      <w:widowControl/>
    </w:pPr>
    <w:rPr>
      <w:sz w:val="28"/>
    </w:rPr>
  </w:style>
  <w:style w:type="paragraph" w:styleId="695">
    <w:name w:val="Основной текст 3"/>
    <w:basedOn w:val="619"/>
    <w:next w:val="695"/>
    <w:link w:val="619"/>
    <w:pPr>
      <w:jc w:val="center"/>
      <w:spacing w:line="240" w:lineRule="exact"/>
      <w:widowControl/>
    </w:pPr>
  </w:style>
  <w:style w:type="paragraph" w:styleId="696">
    <w:name w:val="Текст выноски"/>
    <w:basedOn w:val="619"/>
    <w:next w:val="696"/>
    <w:link w:val="619"/>
    <w:rPr>
      <w:rFonts w:ascii="Tahoma" w:hAnsi="Tahoma" w:cs="Tahoma"/>
      <w:sz w:val="16"/>
      <w:szCs w:val="16"/>
      <w:lang w:val="en-US"/>
    </w:rPr>
  </w:style>
  <w:style w:type="paragraph" w:styleId="697">
    <w:name w:val="Основной текст с отступом 2"/>
    <w:basedOn w:val="619"/>
    <w:next w:val="697"/>
    <w:link w:val="619"/>
    <w:pPr>
      <w:ind w:left="57" w:right="0" w:firstLine="0"/>
      <w:jc w:val="center"/>
      <w:widowControl/>
    </w:pPr>
    <w:rPr>
      <w:color w:val="0000ff"/>
      <w:sz w:val="28"/>
      <w:szCs w:val="28"/>
      <w:lang w:val="en-US"/>
    </w:rPr>
  </w:style>
  <w:style w:type="paragraph" w:styleId="698">
    <w:name w:val="Основной текст с отступом 3"/>
    <w:basedOn w:val="619"/>
    <w:next w:val="698"/>
    <w:link w:val="619"/>
    <w:pPr>
      <w:ind w:left="57" w:right="0" w:firstLine="0"/>
      <w:jc w:val="center"/>
      <w:widowControl/>
    </w:pPr>
    <w:rPr>
      <w:color w:val="ff0000"/>
      <w:sz w:val="28"/>
      <w:szCs w:val="28"/>
      <w:lang w:val="en-US"/>
    </w:rPr>
  </w:style>
  <w:style w:type="paragraph" w:styleId="699">
    <w:name w:val="Содержимое таблицы"/>
    <w:basedOn w:val="619"/>
    <w:next w:val="699"/>
    <w:pPr>
      <w:suppressLineNumbers/>
    </w:pPr>
  </w:style>
  <w:style w:type="paragraph" w:styleId="700">
    <w:name w:val="Заголовок таблицы"/>
    <w:basedOn w:val="699"/>
    <w:next w:val="700"/>
    <w:link w:val="619"/>
    <w:pPr>
      <w:jc w:val="center"/>
      <w:suppressLineNumbers/>
    </w:pPr>
    <w:rPr>
      <w:b/>
      <w:bCs/>
    </w:rPr>
  </w:style>
  <w:style w:type="character" w:styleId="1060" w:default="1">
    <w:name w:val="Default Paragraph Font"/>
    <w:uiPriority w:val="1"/>
    <w:semiHidden/>
    <w:unhideWhenUsed/>
  </w:style>
  <w:style w:type="numbering" w:styleId="106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единой нумерации избирательных участков на территории Ставропольского края</dc:title>
  <dc:creator>ВОСХОД</dc:creator>
  <cp:revision>21</cp:revision>
  <dcterms:created xsi:type="dcterms:W3CDTF">2021-08-26T06:15:00Z</dcterms:created>
  <dcterms:modified xsi:type="dcterms:W3CDTF">2024-10-08T13:27:14Z</dcterms:modified>
</cp:coreProperties>
</file>