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570" w:type="dxa"/>
        <w:tblInd w:w="4622" w:type="dxa"/>
        <w:tblLayout w:type="fixed"/>
        <w:tblLook w:val="01E0"/>
      </w:tblPr>
      <w:tblGrid>
        <w:gridCol w:w="4570"/>
      </w:tblGrid>
      <w:tr w:rsidR="00EE49E0" w:rsidRPr="00C02B90" w:rsidTr="00C02B90">
        <w:tc>
          <w:tcPr>
            <w:tcW w:w="4570" w:type="dxa"/>
          </w:tcPr>
          <w:p w:rsidR="00EE49E0" w:rsidRPr="00C02B90" w:rsidRDefault="00EE49E0" w:rsidP="003531F3">
            <w:pPr>
              <w:spacing w:after="0" w:line="240" w:lineRule="exact"/>
              <w:jc w:val="center"/>
              <w:rPr>
                <w:rFonts w:ascii="Times New Roman" w:hAnsi="Times New Roman" w:cs="Times New Roman"/>
                <w:sz w:val="28"/>
                <w:szCs w:val="28"/>
              </w:rPr>
            </w:pPr>
            <w:r w:rsidRPr="00C02B90">
              <w:rPr>
                <w:rFonts w:ascii="Times New Roman" w:hAnsi="Times New Roman" w:cs="Times New Roman"/>
                <w:sz w:val="28"/>
                <w:szCs w:val="28"/>
              </w:rPr>
              <w:t>Приложение</w:t>
            </w:r>
          </w:p>
        </w:tc>
      </w:tr>
      <w:tr w:rsidR="00EE49E0" w:rsidRPr="00C02B90" w:rsidTr="00C02B90">
        <w:trPr>
          <w:trHeight w:val="1321"/>
        </w:trPr>
        <w:tc>
          <w:tcPr>
            <w:tcW w:w="4570" w:type="dxa"/>
            <w:tcBorders>
              <w:bottom w:val="nil"/>
            </w:tcBorders>
          </w:tcPr>
          <w:p w:rsidR="00EE49E0" w:rsidRPr="00C02B90" w:rsidRDefault="00EE49E0" w:rsidP="002E251E">
            <w:pPr>
              <w:spacing w:after="0" w:line="240" w:lineRule="exact"/>
              <w:jc w:val="both"/>
              <w:rPr>
                <w:rFonts w:ascii="Times New Roman" w:hAnsi="Times New Roman" w:cs="Times New Roman"/>
                <w:sz w:val="28"/>
                <w:szCs w:val="28"/>
              </w:rPr>
            </w:pPr>
            <w:r w:rsidRPr="00C02B90">
              <w:rPr>
                <w:rFonts w:ascii="Times New Roman" w:hAnsi="Times New Roman" w:cs="Times New Roman"/>
                <w:sz w:val="28"/>
                <w:szCs w:val="28"/>
              </w:rPr>
              <w:t>к прогнозу социально-экономического развития Петровского муниципального округа Ставропольского края на 2025 год и на плановый период 2026 и 2027 годов</w:t>
            </w:r>
          </w:p>
        </w:tc>
      </w:tr>
    </w:tbl>
    <w:p w:rsidR="00EE49E0" w:rsidRPr="00C02B90" w:rsidRDefault="00EE49E0" w:rsidP="003C0E09">
      <w:pPr>
        <w:spacing w:after="0" w:line="240" w:lineRule="exact"/>
        <w:rPr>
          <w:rFonts w:ascii="Times New Roman" w:hAnsi="Times New Roman" w:cs="Times New Roman"/>
          <w:sz w:val="28"/>
          <w:szCs w:val="28"/>
          <w:lang w:eastAsia="en-US"/>
        </w:rPr>
      </w:pPr>
    </w:p>
    <w:p w:rsidR="00EE49E0" w:rsidRPr="00C02B90" w:rsidRDefault="00EE49E0" w:rsidP="00C53515">
      <w:pPr>
        <w:spacing w:after="0" w:line="240" w:lineRule="exact"/>
        <w:jc w:val="center"/>
        <w:rPr>
          <w:rFonts w:ascii="Times New Roman" w:hAnsi="Times New Roman" w:cs="Times New Roman"/>
          <w:sz w:val="28"/>
          <w:szCs w:val="28"/>
          <w:lang w:eastAsia="en-US"/>
        </w:rPr>
      </w:pPr>
    </w:p>
    <w:p w:rsidR="00EE49E0" w:rsidRPr="00C02B90" w:rsidRDefault="00EE49E0" w:rsidP="00C53515">
      <w:pPr>
        <w:spacing w:after="0" w:line="240" w:lineRule="exact"/>
        <w:jc w:val="center"/>
        <w:rPr>
          <w:rFonts w:ascii="Times New Roman" w:hAnsi="Times New Roman" w:cs="Times New Roman"/>
          <w:sz w:val="28"/>
          <w:szCs w:val="28"/>
          <w:lang w:eastAsia="en-US"/>
        </w:rPr>
      </w:pPr>
    </w:p>
    <w:p w:rsidR="00EE49E0" w:rsidRPr="00C02B90" w:rsidRDefault="00EE49E0" w:rsidP="00C53515">
      <w:pPr>
        <w:spacing w:after="0" w:line="240" w:lineRule="exact"/>
        <w:jc w:val="center"/>
        <w:rPr>
          <w:rFonts w:ascii="Times New Roman" w:hAnsi="Times New Roman" w:cs="Times New Roman"/>
          <w:sz w:val="28"/>
          <w:szCs w:val="28"/>
          <w:lang w:eastAsia="en-US"/>
        </w:rPr>
      </w:pPr>
      <w:r w:rsidRPr="00C02B90">
        <w:rPr>
          <w:rFonts w:ascii="Times New Roman" w:hAnsi="Times New Roman" w:cs="Times New Roman"/>
          <w:sz w:val="28"/>
          <w:szCs w:val="28"/>
          <w:lang w:eastAsia="en-US"/>
        </w:rPr>
        <w:t>ПОЯСНИТЕЛЬНАЯ ЗАПИСКА</w:t>
      </w:r>
    </w:p>
    <w:p w:rsidR="00EE49E0" w:rsidRPr="00C02B90" w:rsidRDefault="00EE49E0" w:rsidP="00C53515">
      <w:pPr>
        <w:spacing w:after="0" w:line="240" w:lineRule="exact"/>
        <w:jc w:val="center"/>
        <w:rPr>
          <w:rFonts w:ascii="Times New Roman" w:hAnsi="Times New Roman" w:cs="Times New Roman"/>
          <w:sz w:val="28"/>
          <w:szCs w:val="28"/>
          <w:lang w:eastAsia="en-US"/>
        </w:rPr>
      </w:pPr>
      <w:r w:rsidRPr="00C02B90">
        <w:rPr>
          <w:rFonts w:ascii="Times New Roman" w:hAnsi="Times New Roman" w:cs="Times New Roman"/>
          <w:sz w:val="28"/>
          <w:szCs w:val="28"/>
        </w:rPr>
        <w:t>к прогнозу социально-экономического развития Петровского муниципального округа Ставропольского края на 2025 год и на плановый период 2026 и 2027 годов</w:t>
      </w:r>
    </w:p>
    <w:p w:rsidR="00EE49E0" w:rsidRPr="00C02B90" w:rsidRDefault="00EE49E0" w:rsidP="00C53515">
      <w:pPr>
        <w:spacing w:after="0" w:line="240" w:lineRule="exact"/>
        <w:jc w:val="both"/>
        <w:rPr>
          <w:rFonts w:ascii="Times New Roman" w:hAnsi="Times New Roman" w:cs="Times New Roman"/>
          <w:sz w:val="28"/>
          <w:szCs w:val="28"/>
          <w:lang w:eastAsia="en-US"/>
        </w:rPr>
      </w:pPr>
    </w:p>
    <w:p w:rsidR="00EE49E0" w:rsidRPr="00C02B90" w:rsidRDefault="00EE49E0" w:rsidP="0040151F">
      <w:pPr>
        <w:spacing w:after="0" w:line="240" w:lineRule="auto"/>
        <w:ind w:firstLine="709"/>
        <w:jc w:val="both"/>
        <w:rPr>
          <w:rFonts w:ascii="Times New Roman" w:hAnsi="Times New Roman" w:cs="Times New Roman"/>
          <w:sz w:val="28"/>
          <w:szCs w:val="28"/>
        </w:rPr>
      </w:pPr>
      <w:r w:rsidRPr="00C02B90">
        <w:rPr>
          <w:rFonts w:ascii="Times New Roman" w:hAnsi="Times New Roman" w:cs="Times New Roman"/>
          <w:sz w:val="28"/>
          <w:szCs w:val="28"/>
          <w:lang w:eastAsia="en-US"/>
        </w:rPr>
        <w:t xml:space="preserve">Прогноз </w:t>
      </w:r>
      <w:r w:rsidRPr="00C02B90">
        <w:rPr>
          <w:rFonts w:ascii="Times New Roman" w:hAnsi="Times New Roman" w:cs="Times New Roman"/>
          <w:sz w:val="28"/>
          <w:szCs w:val="28"/>
        </w:rPr>
        <w:t xml:space="preserve">социально-экономического развития Петровского муниципального округа Ставропольского края на 2025 год и на плановый период 2026 и 2027 годов (далее соответственно – Прогноз, округ) разработан на основе анализа тенденций развития экономики Петровского муниципального округа за 2022 - 2023 годы и экономической ситуации, сложившейся к сентябрю 2024 года, в соответствии с материалами Министерства экономического развития Российской Федерации, данными Управления Федеральной службы государственной статистики по Северо-Кавказскому Федеральному округу, данными, представленными отделами и органами администрации Петровского муниципального округа Ставропольского края, предприятиями и организациями, осуществляющими деятельность на территории округа. </w:t>
      </w:r>
    </w:p>
    <w:p w:rsidR="00EE49E0" w:rsidRPr="00C02B90" w:rsidRDefault="00EE49E0" w:rsidP="0040151F">
      <w:pPr>
        <w:spacing w:after="0" w:line="240" w:lineRule="auto"/>
        <w:ind w:firstLine="709"/>
        <w:jc w:val="both"/>
        <w:rPr>
          <w:rFonts w:ascii="Times New Roman" w:hAnsi="Times New Roman" w:cs="Times New Roman"/>
          <w:sz w:val="28"/>
          <w:szCs w:val="28"/>
        </w:rPr>
      </w:pPr>
      <w:r w:rsidRPr="00C02B90">
        <w:rPr>
          <w:rFonts w:ascii="Times New Roman" w:hAnsi="Times New Roman" w:cs="Times New Roman"/>
          <w:sz w:val="28"/>
          <w:szCs w:val="28"/>
          <w:lang w:eastAsia="en-US"/>
        </w:rPr>
        <w:t xml:space="preserve">Прогноз разработан </w:t>
      </w:r>
      <w:r w:rsidRPr="00C02B90">
        <w:rPr>
          <w:rFonts w:ascii="Times New Roman" w:hAnsi="Times New Roman" w:cs="Times New Roman"/>
          <w:sz w:val="28"/>
          <w:szCs w:val="28"/>
        </w:rPr>
        <w:t>в двух вариантах: консервативном и базовом.</w:t>
      </w:r>
      <w:r w:rsidRPr="00C02B90">
        <w:rPr>
          <w:rFonts w:ascii="Times New Roman" w:hAnsi="Times New Roman" w:cs="Times New Roman"/>
          <w:color w:val="FF0000"/>
          <w:sz w:val="28"/>
          <w:szCs w:val="28"/>
        </w:rPr>
        <w:t xml:space="preserve"> </w:t>
      </w:r>
      <w:r w:rsidRPr="00C02B90">
        <w:rPr>
          <w:rFonts w:ascii="Times New Roman" w:hAnsi="Times New Roman" w:cs="Times New Roman"/>
          <w:sz w:val="28"/>
          <w:szCs w:val="28"/>
        </w:rPr>
        <w:t>Различие вариантов обусловлено отличием моделей поведения субъектов предпринимательской деятельности, перспективами повышения конкурентоспособности и эффективностью производства основных видов продукции, возможностью сохранения и усиления санкционного давления со стороны недружественных стран, динамикой демографических показателей.</w:t>
      </w:r>
    </w:p>
    <w:p w:rsidR="00EE49E0" w:rsidRPr="00C02B90" w:rsidRDefault="00EE49E0" w:rsidP="0040151F">
      <w:pPr>
        <w:pStyle w:val="BodyText"/>
        <w:spacing w:before="0" w:after="0" w:line="240" w:lineRule="auto"/>
        <w:jc w:val="both"/>
        <w:rPr>
          <w:rFonts w:ascii="Times New Roman" w:hAnsi="Times New Roman" w:cs="Times New Roman"/>
          <w:sz w:val="28"/>
          <w:szCs w:val="28"/>
        </w:rPr>
      </w:pPr>
      <w:r w:rsidRPr="00C02B90">
        <w:rPr>
          <w:rFonts w:ascii="Times New Roman" w:hAnsi="Times New Roman" w:cs="Times New Roman"/>
          <w:sz w:val="28"/>
          <w:szCs w:val="28"/>
        </w:rPr>
        <w:t>Консервативный вариант предполагает экономическую неопределенность и основан на предпосылках об ухудшении внешнеэкономических условий, усилении влияния изменений климата</w:t>
      </w:r>
      <w:r w:rsidRPr="00C02B90">
        <w:rPr>
          <w:rFonts w:ascii="Times New Roman" w:hAnsi="Times New Roman" w:cs="Times New Roman"/>
          <w:color w:val="FF0000"/>
          <w:sz w:val="28"/>
          <w:szCs w:val="28"/>
        </w:rPr>
        <w:t xml:space="preserve"> </w:t>
      </w:r>
      <w:r w:rsidRPr="00C02B90">
        <w:rPr>
          <w:rFonts w:ascii="Times New Roman" w:hAnsi="Times New Roman" w:cs="Times New Roman"/>
          <w:sz w:val="28"/>
          <w:szCs w:val="28"/>
        </w:rPr>
        <w:t>и, как следствие, сокращение объема производства основной промышленной и сельскохозяйственной продукции, объемов инвестиций, а также существенное сокращение численности населения округа.</w:t>
      </w:r>
    </w:p>
    <w:p w:rsidR="00EE49E0" w:rsidRPr="00C02B90" w:rsidRDefault="00EE49E0" w:rsidP="0040151F">
      <w:pPr>
        <w:spacing w:after="0" w:line="240" w:lineRule="auto"/>
        <w:ind w:firstLine="709"/>
        <w:jc w:val="both"/>
        <w:rPr>
          <w:rFonts w:ascii="Times New Roman" w:hAnsi="Times New Roman" w:cs="Times New Roman"/>
          <w:sz w:val="28"/>
          <w:szCs w:val="28"/>
        </w:rPr>
      </w:pPr>
      <w:r w:rsidRPr="00C02B90">
        <w:rPr>
          <w:rFonts w:ascii="Times New Roman" w:hAnsi="Times New Roman" w:cs="Times New Roman"/>
          <w:sz w:val="28"/>
          <w:szCs w:val="28"/>
        </w:rPr>
        <w:t>В базовый вариант заложена более динамичная экономическая и демографическая политика. В частности предполагается: сохранение темпов производства по основным видам экономической деятельности, более активная инвестиционная политика хозяйствующих субъектов, ежегодный рост средней месячной заработной платы работающих, стабилизация демографических показателей. Базовый вариант является наиболее приемлемым вариантом развития на период 2025 – 2027 годов.</w:t>
      </w:r>
    </w:p>
    <w:p w:rsidR="00EE49E0" w:rsidRPr="00C02B90" w:rsidRDefault="00EE49E0" w:rsidP="00C53515">
      <w:pPr>
        <w:spacing w:after="0" w:line="240" w:lineRule="exact"/>
        <w:ind w:firstLine="709"/>
        <w:jc w:val="center"/>
        <w:rPr>
          <w:rFonts w:ascii="Times New Roman" w:hAnsi="Times New Roman" w:cs="Times New Roman"/>
          <w:b/>
          <w:bCs/>
          <w:sz w:val="28"/>
          <w:szCs w:val="28"/>
        </w:rPr>
      </w:pPr>
    </w:p>
    <w:p w:rsidR="00EE49E0" w:rsidRDefault="00EE49E0" w:rsidP="00C53515">
      <w:pPr>
        <w:spacing w:after="0" w:line="240" w:lineRule="exact"/>
        <w:jc w:val="center"/>
        <w:rPr>
          <w:rFonts w:ascii="Times New Roman" w:hAnsi="Times New Roman" w:cs="Times New Roman"/>
          <w:b/>
          <w:bCs/>
          <w:sz w:val="28"/>
          <w:szCs w:val="28"/>
        </w:rPr>
      </w:pPr>
    </w:p>
    <w:p w:rsidR="00EE49E0" w:rsidRPr="00C02B90" w:rsidRDefault="00EE49E0" w:rsidP="00C53515">
      <w:pPr>
        <w:spacing w:after="0" w:line="240" w:lineRule="exact"/>
        <w:jc w:val="center"/>
        <w:rPr>
          <w:rFonts w:ascii="Times New Roman" w:hAnsi="Times New Roman" w:cs="Times New Roman"/>
          <w:b/>
          <w:bCs/>
          <w:sz w:val="28"/>
          <w:szCs w:val="28"/>
        </w:rPr>
      </w:pPr>
      <w:r w:rsidRPr="00C02B90">
        <w:rPr>
          <w:rFonts w:ascii="Times New Roman" w:hAnsi="Times New Roman" w:cs="Times New Roman"/>
          <w:b/>
          <w:bCs/>
          <w:sz w:val="28"/>
          <w:szCs w:val="28"/>
        </w:rPr>
        <w:t>Население</w:t>
      </w:r>
    </w:p>
    <w:p w:rsidR="00EE49E0" w:rsidRPr="00C02B90" w:rsidRDefault="00EE49E0" w:rsidP="00604CE3">
      <w:pPr>
        <w:widowControl w:val="0"/>
        <w:spacing w:after="0" w:line="240" w:lineRule="auto"/>
        <w:ind w:firstLine="709"/>
        <w:jc w:val="both"/>
        <w:rPr>
          <w:rFonts w:ascii="Times New Roman" w:hAnsi="Times New Roman" w:cs="Times New Roman"/>
          <w:sz w:val="28"/>
          <w:szCs w:val="28"/>
        </w:rPr>
      </w:pPr>
      <w:r w:rsidRPr="00C02B90">
        <w:rPr>
          <w:rFonts w:ascii="Times New Roman" w:hAnsi="Times New Roman" w:cs="Times New Roman"/>
          <w:sz w:val="28"/>
          <w:szCs w:val="28"/>
        </w:rPr>
        <w:t xml:space="preserve">В округе сохраняется негативная демографическая ситуация. По сведениям о государственной регистрации актов гражданского состояния Управления записи актов гражданского состояния Ставропольского края в округе общее число родившихся за январь – сентябрь 2024 года (277 детей) в 2,8 раза ниже, чем количество умерших (775 человек). Естественная убыль населения за этот период увеличилась до 498 человек. </w:t>
      </w:r>
    </w:p>
    <w:p w:rsidR="00EE49E0" w:rsidRPr="00C02B90" w:rsidRDefault="00EE49E0" w:rsidP="00604CE3">
      <w:pPr>
        <w:widowControl w:val="0"/>
        <w:spacing w:after="0" w:line="240" w:lineRule="auto"/>
        <w:ind w:firstLine="709"/>
        <w:jc w:val="both"/>
        <w:rPr>
          <w:rFonts w:ascii="Times New Roman" w:hAnsi="Times New Roman" w:cs="Times New Roman"/>
          <w:sz w:val="28"/>
          <w:szCs w:val="28"/>
        </w:rPr>
      </w:pPr>
      <w:r w:rsidRPr="00C02B90">
        <w:rPr>
          <w:rFonts w:ascii="Times New Roman" w:hAnsi="Times New Roman" w:cs="Times New Roman"/>
          <w:sz w:val="28"/>
          <w:szCs w:val="28"/>
        </w:rPr>
        <w:t>В первом полугодии отчетного года миграционный отток населения составил 197 человек. Миграционные потоки представлены в основном внутрикраевой миграцией – 148 человек или 75,00% выбывших из округа.</w:t>
      </w:r>
    </w:p>
    <w:p w:rsidR="00EE49E0" w:rsidRPr="00C02B90" w:rsidRDefault="00EE49E0" w:rsidP="007D3ED8">
      <w:pPr>
        <w:widowControl w:val="0"/>
        <w:spacing w:after="0" w:line="240" w:lineRule="auto"/>
        <w:ind w:firstLine="709"/>
        <w:jc w:val="both"/>
        <w:rPr>
          <w:rFonts w:ascii="Times New Roman" w:hAnsi="Times New Roman" w:cs="Times New Roman"/>
          <w:sz w:val="28"/>
          <w:szCs w:val="28"/>
        </w:rPr>
      </w:pPr>
      <w:r w:rsidRPr="00C02B90">
        <w:rPr>
          <w:rFonts w:ascii="Times New Roman" w:hAnsi="Times New Roman" w:cs="Times New Roman"/>
          <w:sz w:val="28"/>
          <w:szCs w:val="28"/>
        </w:rPr>
        <w:t xml:space="preserve">До конца 2024 года существенного изменения динамики демографических показателей в сравнении с 2023 годом не ожидается, численность населения (в среднегодовом исчислении) сократится до 67,92 тыс. человек. На стабилизацию демографической ситуации направлены </w:t>
      </w:r>
      <w:r w:rsidRPr="00C02B90">
        <w:rPr>
          <w:rFonts w:ascii="Times New Roman" w:hAnsi="Times New Roman" w:cs="Times New Roman"/>
          <w:sz w:val="28"/>
          <w:szCs w:val="28"/>
          <w:lang w:eastAsia="zh-CN"/>
        </w:rPr>
        <w:t xml:space="preserve">региональные проекты </w:t>
      </w:r>
      <w:r w:rsidRPr="00C02B90">
        <w:rPr>
          <w:rFonts w:ascii="Times New Roman" w:hAnsi="Times New Roman" w:cs="Times New Roman"/>
          <w:sz w:val="28"/>
          <w:szCs w:val="28"/>
        </w:rPr>
        <w:t xml:space="preserve">Ставропольского края «Развитие системы оказания первичной медико-санитарной помощи в Ставропольском крае», </w:t>
      </w:r>
      <w:r w:rsidRPr="00C02B90">
        <w:rPr>
          <w:rFonts w:ascii="Times New Roman" w:hAnsi="Times New Roman" w:cs="Times New Roman"/>
          <w:sz w:val="28"/>
          <w:szCs w:val="28"/>
          <w:lang w:eastAsia="zh-CN"/>
        </w:rPr>
        <w:t xml:space="preserve">«Старшее поколение» и </w:t>
      </w:r>
      <w:r w:rsidRPr="00C02B90">
        <w:rPr>
          <w:rFonts w:ascii="Times New Roman" w:hAnsi="Times New Roman" w:cs="Times New Roman"/>
          <w:sz w:val="28"/>
          <w:szCs w:val="28"/>
        </w:rPr>
        <w:t xml:space="preserve">«Финансовая поддержка семей при рождении детей».  </w:t>
      </w:r>
    </w:p>
    <w:p w:rsidR="00EE49E0" w:rsidRPr="00C02B90" w:rsidRDefault="00EE49E0" w:rsidP="00F03587">
      <w:pPr>
        <w:widowControl w:val="0"/>
        <w:spacing w:after="0" w:line="240" w:lineRule="auto"/>
        <w:ind w:firstLine="709"/>
        <w:jc w:val="both"/>
        <w:rPr>
          <w:rFonts w:ascii="Times New Roman" w:hAnsi="Times New Roman" w:cs="Times New Roman"/>
          <w:sz w:val="28"/>
          <w:szCs w:val="28"/>
        </w:rPr>
      </w:pPr>
      <w:r w:rsidRPr="00C02B90">
        <w:rPr>
          <w:rFonts w:ascii="Times New Roman" w:hAnsi="Times New Roman" w:cs="Times New Roman"/>
          <w:sz w:val="28"/>
          <w:szCs w:val="28"/>
          <w:lang w:eastAsia="en-US"/>
        </w:rPr>
        <w:t xml:space="preserve">Базовый вариант прогноза предусматривает, что к концу в 2025 года общий коэффициент рождаемости населения увеличится до 6,50 родившихся живыми на 1,0 тыс. человек населения, общий коэффициент смертности сократится до 15,0 умерших на 1,0 тыс. населения, миграционная убыль составит   - 0,19 тыс. человек. </w:t>
      </w:r>
    </w:p>
    <w:p w:rsidR="00EE49E0" w:rsidRPr="00C02B90" w:rsidRDefault="00EE49E0" w:rsidP="00C53515">
      <w:pPr>
        <w:widowControl w:val="0"/>
        <w:spacing w:after="0" w:line="240" w:lineRule="exact"/>
        <w:ind w:firstLine="709"/>
        <w:jc w:val="both"/>
        <w:rPr>
          <w:rFonts w:ascii="Times New Roman" w:hAnsi="Times New Roman" w:cs="Times New Roman"/>
          <w:sz w:val="28"/>
          <w:szCs w:val="28"/>
          <w:lang w:eastAsia="en-US"/>
        </w:rPr>
      </w:pPr>
    </w:p>
    <w:p w:rsidR="00EE49E0" w:rsidRPr="00C02B90" w:rsidRDefault="00EE49E0" w:rsidP="00C53515">
      <w:pPr>
        <w:spacing w:after="0" w:line="240" w:lineRule="exact"/>
        <w:jc w:val="center"/>
        <w:rPr>
          <w:rFonts w:ascii="Times New Roman" w:hAnsi="Times New Roman" w:cs="Times New Roman"/>
          <w:b/>
          <w:bCs/>
          <w:sz w:val="28"/>
          <w:szCs w:val="28"/>
        </w:rPr>
      </w:pPr>
      <w:r w:rsidRPr="00C02B90">
        <w:rPr>
          <w:rFonts w:ascii="Times New Roman" w:hAnsi="Times New Roman" w:cs="Times New Roman"/>
          <w:b/>
          <w:bCs/>
          <w:sz w:val="28"/>
          <w:szCs w:val="28"/>
        </w:rPr>
        <w:t>Промышленное производство</w:t>
      </w:r>
    </w:p>
    <w:p w:rsidR="00EE49E0" w:rsidRPr="00C02B90" w:rsidRDefault="00EE49E0" w:rsidP="0040151F">
      <w:pPr>
        <w:spacing w:after="0" w:line="240" w:lineRule="auto"/>
        <w:ind w:firstLine="709"/>
        <w:jc w:val="both"/>
        <w:rPr>
          <w:rFonts w:ascii="Times New Roman" w:hAnsi="Times New Roman" w:cs="Times New Roman"/>
          <w:sz w:val="28"/>
          <w:szCs w:val="28"/>
        </w:rPr>
      </w:pPr>
      <w:r w:rsidRPr="00C02B90">
        <w:rPr>
          <w:rFonts w:ascii="Times New Roman" w:hAnsi="Times New Roman" w:cs="Times New Roman"/>
          <w:sz w:val="28"/>
          <w:szCs w:val="28"/>
        </w:rPr>
        <w:t>Производство промышленной продукции на территории округа представлено добычей полезных ископаемых, обрабатывающими производствами и жилищно-коммунальным хозяйством.</w:t>
      </w:r>
    </w:p>
    <w:p w:rsidR="00EE49E0" w:rsidRPr="00C02B90" w:rsidRDefault="00EE49E0" w:rsidP="0040151F">
      <w:pPr>
        <w:spacing w:after="0" w:line="240" w:lineRule="auto"/>
        <w:ind w:firstLine="709"/>
        <w:jc w:val="both"/>
        <w:rPr>
          <w:rFonts w:ascii="Times New Roman" w:hAnsi="Times New Roman" w:cs="Times New Roman"/>
          <w:sz w:val="28"/>
          <w:szCs w:val="28"/>
          <w:highlight w:val="yellow"/>
        </w:rPr>
      </w:pPr>
      <w:r w:rsidRPr="00C02B90">
        <w:rPr>
          <w:rFonts w:ascii="Times New Roman" w:hAnsi="Times New Roman" w:cs="Times New Roman"/>
          <w:sz w:val="28"/>
          <w:szCs w:val="28"/>
        </w:rPr>
        <w:t xml:space="preserve">Объем отгруженных товаров собственного производства, выполненных работ и услуг собственными силами по промышленным видам экономической деятельности (далее - объем отгруженной продукции) по состоянию на 01 октября 2024 года составил 5518,66 млн. рублей или 83,9% к показателю аналогичного периода 2023 года. Ожидается, что по итогам отчетного года данный показатель увеличится до 7358,35 млн. рублей при темпе роста к показателю прошлого года 86,75% (в действующих ценах), а в 2025 году вырастет до 7623,25 млн. рублей (в базовом варианте). </w:t>
      </w:r>
    </w:p>
    <w:p w:rsidR="00EE49E0" w:rsidRPr="00C02B90" w:rsidRDefault="00EE49E0" w:rsidP="0040151F">
      <w:pPr>
        <w:spacing w:after="0" w:line="240" w:lineRule="auto"/>
        <w:ind w:firstLine="709"/>
        <w:jc w:val="both"/>
        <w:rPr>
          <w:rFonts w:ascii="Times New Roman" w:hAnsi="Times New Roman" w:cs="Times New Roman"/>
          <w:sz w:val="28"/>
          <w:szCs w:val="28"/>
          <w:highlight w:val="yellow"/>
        </w:rPr>
      </w:pPr>
      <w:r w:rsidRPr="00C02B90">
        <w:rPr>
          <w:rFonts w:ascii="Times New Roman" w:hAnsi="Times New Roman" w:cs="Times New Roman"/>
          <w:sz w:val="28"/>
          <w:szCs w:val="28"/>
        </w:rPr>
        <w:t xml:space="preserve">На долю обрабатывающих производств в объеме отгруженной продукции собственного производства промышленных предприятий приходится около 54,00%. Объем отгруженной продукции обрабатывающих предприятий за январь - сентябрь 2024 года составил 2964,71 млн. рублей или 79,60% к показателю аналогичного периода 2023 года, существенное снижение обусловлено изменением во втором полугодии 2023 года структуры хозяйствующих субъектов. По итогам 2024 года данный показатель оценивается в размере 3953,10 млн. рублей или 85,40% к показателю 2023 года (в действующих ценах). По прогнозу в базовом варианте в 2025 году темп роста увеличится до 104,8%, а объем отгруженной продукции достигнет 4142,85 млн. рублей. </w:t>
      </w:r>
    </w:p>
    <w:p w:rsidR="00EE49E0" w:rsidRPr="00C02B90" w:rsidRDefault="00EE49E0" w:rsidP="00CE114E">
      <w:pPr>
        <w:spacing w:after="0" w:line="240" w:lineRule="auto"/>
        <w:ind w:firstLine="709"/>
        <w:jc w:val="both"/>
        <w:rPr>
          <w:rFonts w:ascii="Times New Roman" w:hAnsi="Times New Roman" w:cs="Times New Roman"/>
          <w:sz w:val="28"/>
          <w:szCs w:val="28"/>
        </w:rPr>
      </w:pPr>
      <w:r w:rsidRPr="00C02B90">
        <w:rPr>
          <w:rFonts w:ascii="Times New Roman" w:hAnsi="Times New Roman" w:cs="Times New Roman"/>
          <w:sz w:val="28"/>
          <w:szCs w:val="28"/>
        </w:rPr>
        <w:t xml:space="preserve">По расчетам, в среднесрочной перспективе будет сохраняться положительная динамика развития промышленного производства. Ожидается, что в 2027 году объем отгруженной промышленной продукции достигнет 8237,38 млн. рублей, а объем продукции обрабатывающих производств - 4545,75 млн. рублей. Росту показателей будет способствовать вовлечение предприятий округа в реализацию регионального проекта «Системные меры развития международной кооперации и экспорта Ставропольского края», это позволит обрабатывающим предприятиям округа выйти на новые рынки сбыта. </w:t>
      </w:r>
    </w:p>
    <w:p w:rsidR="00EE49E0" w:rsidRPr="00C02B90" w:rsidRDefault="00EE49E0" w:rsidP="00B62F35">
      <w:pPr>
        <w:spacing w:after="0" w:line="240" w:lineRule="auto"/>
        <w:jc w:val="center"/>
        <w:rPr>
          <w:rFonts w:ascii="Times New Roman" w:hAnsi="Times New Roman" w:cs="Times New Roman"/>
          <w:b/>
          <w:bCs/>
          <w:sz w:val="28"/>
          <w:szCs w:val="28"/>
        </w:rPr>
      </w:pPr>
    </w:p>
    <w:p w:rsidR="00EE49E0" w:rsidRPr="00C02B90" w:rsidRDefault="00EE49E0" w:rsidP="00B62F35">
      <w:pPr>
        <w:spacing w:after="0" w:line="240" w:lineRule="auto"/>
        <w:jc w:val="center"/>
        <w:rPr>
          <w:rFonts w:ascii="Times New Roman" w:hAnsi="Times New Roman" w:cs="Times New Roman"/>
          <w:b/>
          <w:bCs/>
          <w:sz w:val="28"/>
          <w:szCs w:val="28"/>
        </w:rPr>
      </w:pPr>
      <w:r w:rsidRPr="00C02B90">
        <w:rPr>
          <w:rFonts w:ascii="Times New Roman" w:hAnsi="Times New Roman" w:cs="Times New Roman"/>
          <w:b/>
          <w:bCs/>
          <w:sz w:val="28"/>
          <w:szCs w:val="28"/>
        </w:rPr>
        <w:t>Сельское хозяйство</w:t>
      </w:r>
    </w:p>
    <w:p w:rsidR="00EE49E0" w:rsidRPr="00C02B90" w:rsidRDefault="00EE49E0" w:rsidP="0040151F">
      <w:pPr>
        <w:spacing w:after="0" w:line="240" w:lineRule="auto"/>
        <w:ind w:firstLine="709"/>
        <w:jc w:val="both"/>
        <w:rPr>
          <w:rFonts w:ascii="Times New Roman" w:hAnsi="Times New Roman" w:cs="Times New Roman"/>
          <w:sz w:val="28"/>
          <w:szCs w:val="28"/>
        </w:rPr>
      </w:pPr>
      <w:r w:rsidRPr="00C02B90">
        <w:rPr>
          <w:rFonts w:ascii="Times New Roman" w:hAnsi="Times New Roman" w:cs="Times New Roman"/>
          <w:sz w:val="28"/>
          <w:szCs w:val="28"/>
        </w:rPr>
        <w:t xml:space="preserve">Прогноз развития сельского хозяйства округа разработан на основе оперативной информации о производстве основных видов сельскохозяйственной продукции во всех категориях хозяйств за 9 месяцев 2024 года и предварительной структуре посевных площадей на 2025 год. </w:t>
      </w:r>
    </w:p>
    <w:p w:rsidR="00EE49E0" w:rsidRPr="00C02B90" w:rsidRDefault="00EE49E0" w:rsidP="000F58D6">
      <w:pPr>
        <w:pStyle w:val="NoSpacing"/>
        <w:ind w:firstLine="709"/>
        <w:jc w:val="both"/>
        <w:rPr>
          <w:rFonts w:ascii="Times New Roman" w:hAnsi="Times New Roman" w:cs="Times New Roman"/>
          <w:sz w:val="28"/>
          <w:szCs w:val="28"/>
        </w:rPr>
      </w:pPr>
      <w:r w:rsidRPr="00C02B90">
        <w:rPr>
          <w:rFonts w:ascii="Times New Roman" w:hAnsi="Times New Roman" w:cs="Times New Roman"/>
          <w:sz w:val="28"/>
          <w:szCs w:val="28"/>
        </w:rPr>
        <w:t xml:space="preserve">Негативные погодные условия в осенне-весенний период 2023 – 2024 годов оказали существенное влияние на формирование урожая основных сельскохозяйственных культур. В результате валовой сбор зерновых и зернобобовых культур в отчетном году существенно ниже - 308,4 тыс. тонн против 524,02 тыс. тонн в 2023 году. Производство картофеля и овощных культур оценивается в 32,00 тыс. тонн, прежде всего за счет увеличения посевных площадей данных культур на орошаемых землях. Ожидается уменьшение производства основных видов животноводства в связи с сокращением численности поголовья основных сельскохозяйственных животных во всех категориях хозяйств. По оценке, объем продукции сельского хозяйства по итогам 2024 года составит 10698,93 млн. рублей или 73,80% к значению 2023 года (в сопоставимых ценах), более 60,0% произведенной продукции будет приходиться на растениеводство. </w:t>
      </w:r>
    </w:p>
    <w:p w:rsidR="00EE49E0" w:rsidRPr="00C02B90" w:rsidRDefault="00EE49E0" w:rsidP="0040151F">
      <w:pPr>
        <w:pStyle w:val="NoSpacing"/>
        <w:ind w:firstLine="709"/>
        <w:jc w:val="both"/>
        <w:rPr>
          <w:rFonts w:ascii="Times New Roman" w:hAnsi="Times New Roman" w:cs="Times New Roman"/>
          <w:sz w:val="28"/>
          <w:szCs w:val="28"/>
        </w:rPr>
      </w:pPr>
      <w:r w:rsidRPr="00C02B90">
        <w:rPr>
          <w:rFonts w:ascii="Times New Roman" w:hAnsi="Times New Roman" w:cs="Times New Roman"/>
          <w:sz w:val="28"/>
          <w:szCs w:val="28"/>
        </w:rPr>
        <w:t>В 2025 году базовый вариант прогноза предусматривает, что в общем объеме произведенной сельхозпродукции сохранится преобладание растениеводческой продукции, а ее объем увеличится до 8204,33 млн. рублей при темпе роста 113,83% к 2024 году (в сопоставимых ценах).</w:t>
      </w:r>
      <w:r w:rsidRPr="00C02B90">
        <w:rPr>
          <w:rFonts w:ascii="Times New Roman" w:hAnsi="Times New Roman" w:cs="Times New Roman"/>
          <w:color w:val="FF0000"/>
          <w:sz w:val="28"/>
          <w:szCs w:val="28"/>
        </w:rPr>
        <w:t xml:space="preserve"> </w:t>
      </w:r>
      <w:r w:rsidRPr="00C02B90">
        <w:rPr>
          <w:rFonts w:ascii="Times New Roman" w:hAnsi="Times New Roman" w:cs="Times New Roman"/>
          <w:sz w:val="28"/>
          <w:szCs w:val="28"/>
        </w:rPr>
        <w:t xml:space="preserve">Производство продукции животноводства возрастет до 3513,68 млн. рублей при темпе роста 104,27% к 2024 году (в сопоставимых ценах). Среди основных рисков, способных оказать влияние на развитие сельского хозяйства, остаются аномальные погодные условия в весенне-летний период (почвенная засуха, ливневые дожди и градобой), сокращение численности поголовья, рост цен на сырье и материалы, используемые в производстве, колебания цен на произведенную продукцию. </w:t>
      </w:r>
    </w:p>
    <w:p w:rsidR="00EE49E0" w:rsidRPr="00C02B90" w:rsidRDefault="00EE49E0" w:rsidP="0040151F">
      <w:pPr>
        <w:spacing w:after="0" w:line="240" w:lineRule="auto"/>
        <w:ind w:firstLine="709"/>
        <w:jc w:val="both"/>
        <w:rPr>
          <w:rFonts w:ascii="Times New Roman" w:hAnsi="Times New Roman" w:cs="Times New Roman"/>
          <w:sz w:val="28"/>
          <w:szCs w:val="28"/>
          <w:lang w:eastAsia="en-US"/>
        </w:rPr>
      </w:pPr>
      <w:r w:rsidRPr="00C02B90">
        <w:rPr>
          <w:rFonts w:ascii="Times New Roman" w:hAnsi="Times New Roman" w:cs="Times New Roman"/>
          <w:sz w:val="28"/>
          <w:szCs w:val="28"/>
        </w:rPr>
        <w:t xml:space="preserve">При сохранении темпов поступления инвестиций и увеличении объемов государственной поддержки </w:t>
      </w:r>
      <w:r w:rsidRPr="00C02B90">
        <w:rPr>
          <w:rFonts w:ascii="Times New Roman" w:hAnsi="Times New Roman" w:cs="Times New Roman"/>
          <w:sz w:val="28"/>
          <w:szCs w:val="28"/>
          <w:lang w:eastAsia="en-US"/>
        </w:rPr>
        <w:t xml:space="preserve">производство продукции сельского хозяйства в 2027 году в хозяйствах всех категорий ожидается в сумме 15507,88 млн. рублей (в базовом варианте) при темпе роста 115,09% (в действующих ценах) к 2023 году. На протяжении всего прогнозного периода в структуре произведенной продукции сохранится преобладание растениеводческой продукции.  </w:t>
      </w:r>
    </w:p>
    <w:p w:rsidR="00EE49E0" w:rsidRPr="00C02B90" w:rsidRDefault="00EE49E0" w:rsidP="00C53515">
      <w:pPr>
        <w:spacing w:after="0" w:line="240" w:lineRule="exact"/>
        <w:ind w:firstLine="709"/>
        <w:jc w:val="both"/>
        <w:rPr>
          <w:rFonts w:ascii="Times New Roman" w:hAnsi="Times New Roman" w:cs="Times New Roman"/>
          <w:sz w:val="28"/>
          <w:szCs w:val="28"/>
        </w:rPr>
      </w:pPr>
    </w:p>
    <w:p w:rsidR="00EE49E0" w:rsidRPr="00C02B90" w:rsidRDefault="00EE49E0" w:rsidP="00C53515">
      <w:pPr>
        <w:spacing w:after="0" w:line="240" w:lineRule="exact"/>
        <w:jc w:val="center"/>
        <w:rPr>
          <w:rFonts w:ascii="Times New Roman" w:hAnsi="Times New Roman" w:cs="Times New Roman"/>
          <w:b/>
          <w:bCs/>
          <w:sz w:val="28"/>
          <w:szCs w:val="28"/>
        </w:rPr>
      </w:pPr>
      <w:r w:rsidRPr="00C02B90">
        <w:rPr>
          <w:rFonts w:ascii="Times New Roman" w:hAnsi="Times New Roman" w:cs="Times New Roman"/>
          <w:b/>
          <w:bCs/>
          <w:sz w:val="28"/>
          <w:szCs w:val="28"/>
        </w:rPr>
        <w:t>Строительство</w:t>
      </w:r>
    </w:p>
    <w:p w:rsidR="00EE49E0" w:rsidRPr="00C02B90" w:rsidRDefault="00EE49E0" w:rsidP="0040151F">
      <w:pPr>
        <w:spacing w:after="0" w:line="240" w:lineRule="auto"/>
        <w:ind w:firstLine="709"/>
        <w:jc w:val="both"/>
        <w:rPr>
          <w:rFonts w:ascii="Times New Roman" w:hAnsi="Times New Roman" w:cs="Times New Roman"/>
          <w:color w:val="FF0000"/>
          <w:sz w:val="28"/>
          <w:szCs w:val="28"/>
        </w:rPr>
      </w:pPr>
      <w:r w:rsidRPr="00C02B90">
        <w:rPr>
          <w:rFonts w:ascii="Times New Roman" w:hAnsi="Times New Roman" w:cs="Times New Roman"/>
          <w:sz w:val="28"/>
          <w:szCs w:val="28"/>
        </w:rPr>
        <w:t>По виду экономической деятельности «строительство» за 8 месяцев 2024 года выполнено работ на сумму 142,19 млн. рублей (в аналогичном периоде 2023 года – 1115,53 млн. рублей). Существенное снижение показателя связано с завершением строительства в январе 2023 года Берестовской ВЭС мощностью 60 МВ, на долю которой пришелся основной объем работ в январе 2023 года – 566,11 млн. рублей.</w:t>
      </w:r>
    </w:p>
    <w:p w:rsidR="00EE49E0" w:rsidRPr="00C02B90" w:rsidRDefault="00EE49E0" w:rsidP="0040151F">
      <w:pPr>
        <w:spacing w:after="0" w:line="240" w:lineRule="auto"/>
        <w:ind w:firstLine="709"/>
        <w:jc w:val="both"/>
        <w:rPr>
          <w:rFonts w:ascii="Times New Roman" w:hAnsi="Times New Roman" w:cs="Times New Roman"/>
          <w:sz w:val="28"/>
          <w:szCs w:val="28"/>
        </w:rPr>
      </w:pPr>
      <w:r w:rsidRPr="00C02B90">
        <w:rPr>
          <w:rFonts w:ascii="Times New Roman" w:hAnsi="Times New Roman" w:cs="Times New Roman"/>
          <w:sz w:val="28"/>
          <w:szCs w:val="28"/>
        </w:rPr>
        <w:t xml:space="preserve">За счет нового строительства, расширения и реконструкции в первом полугодии текущего года введены в эксплуатацию 0,5 тыс. кв. м. торговых площадей, предприятия общественного питания на 20 посадочных мест, общетоварные склады площадью 1,3 тыс. кв. м., спортивный зал площадью 0,8 тыс. кв. м., плоскостное спортивное сооружение площадью 2,3 тыс. кв. м. </w:t>
      </w:r>
    </w:p>
    <w:p w:rsidR="00EE49E0" w:rsidRPr="00C02B90" w:rsidRDefault="00EE49E0" w:rsidP="0040151F">
      <w:pPr>
        <w:spacing w:after="0" w:line="240" w:lineRule="auto"/>
        <w:ind w:firstLine="709"/>
        <w:jc w:val="both"/>
        <w:rPr>
          <w:rFonts w:ascii="Times New Roman" w:hAnsi="Times New Roman" w:cs="Times New Roman"/>
          <w:sz w:val="28"/>
          <w:szCs w:val="28"/>
        </w:rPr>
      </w:pPr>
      <w:r w:rsidRPr="00C02B90">
        <w:rPr>
          <w:rFonts w:ascii="Times New Roman" w:hAnsi="Times New Roman" w:cs="Times New Roman"/>
          <w:sz w:val="28"/>
          <w:szCs w:val="28"/>
        </w:rPr>
        <w:t>По итогам 2024 года объем работ, выполненных по виду деятельности «строительство», оценивается в 195,00 млн. рублей или 13,68% к 2023 году (в сопоставимых ценах), что обусловлено завершением в 2023 году строительных работ на крупных инвестиционных проектах. По этой же причине существенного роста показателя в среднесрочном периоде не прогнозируется. В базовом варианте в 2025 году объем работ, выполненных по виду деятельности «строительство» составит 203,39 млн. рублей при темпе роста 98,31% к 2024 году (в сопоставимых ценах), а в 2027 году увеличится до 218,89 млн. рублей.</w:t>
      </w:r>
    </w:p>
    <w:p w:rsidR="00EE49E0" w:rsidRPr="00C02B90" w:rsidRDefault="00EE49E0" w:rsidP="0040151F">
      <w:pPr>
        <w:spacing w:after="0" w:line="240" w:lineRule="auto"/>
        <w:ind w:firstLine="709"/>
        <w:jc w:val="both"/>
        <w:rPr>
          <w:rFonts w:ascii="Times New Roman" w:hAnsi="Times New Roman" w:cs="Times New Roman"/>
          <w:sz w:val="28"/>
          <w:szCs w:val="28"/>
        </w:rPr>
      </w:pPr>
      <w:r w:rsidRPr="00C02B90">
        <w:rPr>
          <w:rFonts w:ascii="Times New Roman" w:hAnsi="Times New Roman" w:cs="Times New Roman"/>
          <w:sz w:val="28"/>
          <w:szCs w:val="28"/>
        </w:rPr>
        <w:t xml:space="preserve">За 9 месяцев 2024 года за счет ИЖС введено 11,21 тыс. кв. м. жилых домов. Ожидается, что по итогам текущего года объем ИЖС составит 11,8 тыс. кв. м. В связи с тем, что в округе не ведется строительство многоквартирных жилых домов, а также в связи с ростом цен на строительные и отделочные материалы в прогнозном периоде увеличения показателя не ожидается, ежегодный объем жилищного строительства в базовом варианте не будет превышать 9,00 тыс. кв. м. </w:t>
      </w:r>
    </w:p>
    <w:p w:rsidR="00EE49E0" w:rsidRPr="00C02B90" w:rsidRDefault="00EE49E0" w:rsidP="00C53515">
      <w:pPr>
        <w:spacing w:after="0" w:line="240" w:lineRule="exact"/>
        <w:jc w:val="both"/>
        <w:rPr>
          <w:rFonts w:ascii="Times New Roman" w:hAnsi="Times New Roman" w:cs="Times New Roman"/>
          <w:sz w:val="28"/>
          <w:szCs w:val="28"/>
        </w:rPr>
      </w:pPr>
    </w:p>
    <w:p w:rsidR="00EE49E0" w:rsidRPr="00C02B90" w:rsidRDefault="00EE49E0" w:rsidP="00C53515">
      <w:pPr>
        <w:spacing w:after="0" w:line="240" w:lineRule="exact"/>
        <w:jc w:val="center"/>
        <w:rPr>
          <w:rFonts w:ascii="Times New Roman" w:hAnsi="Times New Roman" w:cs="Times New Roman"/>
          <w:b/>
          <w:bCs/>
          <w:sz w:val="28"/>
          <w:szCs w:val="28"/>
        </w:rPr>
      </w:pPr>
      <w:r w:rsidRPr="00C02B90">
        <w:rPr>
          <w:rFonts w:ascii="Times New Roman" w:hAnsi="Times New Roman" w:cs="Times New Roman"/>
          <w:b/>
          <w:bCs/>
          <w:sz w:val="28"/>
          <w:szCs w:val="28"/>
        </w:rPr>
        <w:t>Торговля и услуги населению</w:t>
      </w:r>
    </w:p>
    <w:p w:rsidR="00EE49E0" w:rsidRPr="00C02B90" w:rsidRDefault="00EE49E0" w:rsidP="00576B5E">
      <w:pPr>
        <w:spacing w:after="0" w:line="240" w:lineRule="auto"/>
        <w:ind w:firstLine="709"/>
        <w:jc w:val="both"/>
        <w:rPr>
          <w:rFonts w:ascii="Times New Roman" w:hAnsi="Times New Roman" w:cs="Times New Roman"/>
          <w:sz w:val="28"/>
          <w:szCs w:val="28"/>
        </w:rPr>
      </w:pPr>
      <w:r w:rsidRPr="00C02B90">
        <w:rPr>
          <w:rFonts w:ascii="Times New Roman" w:hAnsi="Times New Roman" w:cs="Times New Roman"/>
          <w:sz w:val="28"/>
          <w:szCs w:val="28"/>
        </w:rPr>
        <w:t>Объем розничного товарооборота предприятий, не относящихся к субъектам малого и среднего предпринимательства, по итогам 2024 года оценивается в 3963,47 млн. рублей, что в сопоставимых ценах на 20,83% превысит значение 2023 года.</w:t>
      </w:r>
    </w:p>
    <w:p w:rsidR="00EE49E0" w:rsidRPr="00C02B90" w:rsidRDefault="00EE49E0" w:rsidP="0040151F">
      <w:pPr>
        <w:spacing w:after="0" w:line="240" w:lineRule="auto"/>
        <w:ind w:firstLine="709"/>
        <w:jc w:val="both"/>
        <w:rPr>
          <w:rFonts w:ascii="Times New Roman" w:hAnsi="Times New Roman" w:cs="Times New Roman"/>
          <w:sz w:val="28"/>
          <w:szCs w:val="28"/>
        </w:rPr>
      </w:pPr>
      <w:r w:rsidRPr="00C02B90">
        <w:rPr>
          <w:rFonts w:ascii="Times New Roman" w:hAnsi="Times New Roman" w:cs="Times New Roman"/>
          <w:sz w:val="28"/>
          <w:szCs w:val="28"/>
        </w:rPr>
        <w:t>В среднесрочной перспективе сохранится положительная динамика, базовый вариант прогноза предполагает, что в 2025 году в объем розничного товарооборота увеличится до 4954,33 млн. рублей при темпе роста 118,48% к 2024 году (в действующих ценах), а к 2027 году достигнет 5598,20 млн. рублей, что в действующих ценах в 1,8 раза превысит значение 2023 года. Основными факторами, которые будут оказывать влияние на показатель в прогнозном периоде остаются инфляция на основные потребительские товары, а также увеличение на территории округа числа магазинов крупных сетевых компаний.</w:t>
      </w:r>
    </w:p>
    <w:p w:rsidR="00EE49E0" w:rsidRPr="00C02B90" w:rsidRDefault="00EE49E0" w:rsidP="0040151F">
      <w:pPr>
        <w:spacing w:after="0" w:line="240" w:lineRule="auto"/>
        <w:ind w:firstLine="709"/>
        <w:jc w:val="both"/>
        <w:rPr>
          <w:rFonts w:ascii="Times New Roman" w:hAnsi="Times New Roman" w:cs="Times New Roman"/>
          <w:sz w:val="28"/>
          <w:szCs w:val="28"/>
        </w:rPr>
      </w:pPr>
      <w:r w:rsidRPr="00C02B90">
        <w:rPr>
          <w:rFonts w:ascii="Times New Roman" w:hAnsi="Times New Roman" w:cs="Times New Roman"/>
          <w:sz w:val="28"/>
          <w:szCs w:val="28"/>
        </w:rPr>
        <w:t>Повышение тарифов на услуги ЖКХ в июле отчетного года, также их плановое повышение в 2025 году - основные условия роста объема платных услуг населению. Ожидается, что объем платных услуг, оказанных населению предприятиями, не относящимися к субъектам малого и среднего предпринимательства, по итогам 2024 года составит 1462,13 млн. рублей или 105,0% к значению 2023 года (в действующих ценах). В базовом варианте прогноза объем платных услуг населению в 2025 году увеличится до 1583,48 млн. рублей при темпе роста 100,37% к значению 2024 года (в сопоставимых ценах), в 2027 году этот показатель достигнет 1704,33 млн. рублей.</w:t>
      </w:r>
    </w:p>
    <w:p w:rsidR="00EE49E0" w:rsidRPr="00C02B90" w:rsidRDefault="00EE49E0" w:rsidP="00C53515">
      <w:pPr>
        <w:spacing w:after="0" w:line="240" w:lineRule="exact"/>
        <w:ind w:firstLine="709"/>
        <w:jc w:val="center"/>
        <w:rPr>
          <w:rFonts w:ascii="Times New Roman" w:hAnsi="Times New Roman" w:cs="Times New Roman"/>
          <w:b/>
          <w:bCs/>
          <w:sz w:val="28"/>
          <w:szCs w:val="28"/>
        </w:rPr>
      </w:pPr>
    </w:p>
    <w:p w:rsidR="00EE49E0" w:rsidRPr="00C02B90" w:rsidRDefault="00EE49E0" w:rsidP="00C53515">
      <w:pPr>
        <w:spacing w:after="0" w:line="240" w:lineRule="exact"/>
        <w:jc w:val="center"/>
        <w:rPr>
          <w:rFonts w:ascii="Times New Roman" w:hAnsi="Times New Roman" w:cs="Times New Roman"/>
          <w:b/>
          <w:bCs/>
          <w:sz w:val="28"/>
          <w:szCs w:val="28"/>
        </w:rPr>
      </w:pPr>
      <w:r w:rsidRPr="00C02B90">
        <w:rPr>
          <w:rFonts w:ascii="Times New Roman" w:hAnsi="Times New Roman" w:cs="Times New Roman"/>
          <w:b/>
          <w:bCs/>
          <w:sz w:val="28"/>
          <w:szCs w:val="28"/>
        </w:rPr>
        <w:t xml:space="preserve">Малое и среднее предпринимательство. </w:t>
      </w:r>
    </w:p>
    <w:p w:rsidR="00EE49E0" w:rsidRPr="00C02B90" w:rsidRDefault="00EE49E0" w:rsidP="00FA7114">
      <w:pPr>
        <w:spacing w:after="0" w:line="240" w:lineRule="auto"/>
        <w:ind w:firstLine="709"/>
        <w:jc w:val="both"/>
        <w:rPr>
          <w:rFonts w:ascii="Times New Roman" w:hAnsi="Times New Roman" w:cs="Times New Roman"/>
          <w:sz w:val="28"/>
          <w:szCs w:val="28"/>
        </w:rPr>
      </w:pPr>
      <w:r w:rsidRPr="00C02B90">
        <w:rPr>
          <w:rFonts w:ascii="Times New Roman" w:hAnsi="Times New Roman" w:cs="Times New Roman"/>
          <w:sz w:val="28"/>
          <w:szCs w:val="28"/>
        </w:rPr>
        <w:t xml:space="preserve">В едином реестре субъектов малого и среднего предпринимательства Федеральной налоговой службы по состоянию на 10 октября 2024 года содержатся сведения о 1880 субъектах малого и среднего предпринимательства, из которых 182 субъекта являются юридическими лицами. </w:t>
      </w:r>
    </w:p>
    <w:p w:rsidR="00EE49E0" w:rsidRPr="00C02B90" w:rsidRDefault="00EE49E0" w:rsidP="0040151F">
      <w:pPr>
        <w:spacing w:after="0" w:line="240" w:lineRule="auto"/>
        <w:ind w:firstLine="709"/>
        <w:jc w:val="both"/>
        <w:rPr>
          <w:rFonts w:ascii="Times New Roman" w:hAnsi="Times New Roman" w:cs="Times New Roman"/>
          <w:sz w:val="28"/>
          <w:szCs w:val="28"/>
        </w:rPr>
      </w:pPr>
      <w:r w:rsidRPr="00C02B90">
        <w:rPr>
          <w:rFonts w:ascii="Times New Roman" w:hAnsi="Times New Roman" w:cs="Times New Roman"/>
          <w:sz w:val="28"/>
          <w:szCs w:val="28"/>
        </w:rPr>
        <w:t>По прогнозу в среднесрочном периоде сохранится стабильная ситуация в сфере развития малого и среднего предпринимательства (далее – МСП). В 2027 году число предприятий МСП (включая микропредприятия) увеличится до 190 единиц, а численность занятых на этих предприятиях - до 2,8 тыс. человек. В течение всего прогнозного периода оборот МСП (включая микропредприятия) будет расти и к концу 2027 года составит 10,80 млрд. рублей.</w:t>
      </w:r>
    </w:p>
    <w:p w:rsidR="00EE49E0" w:rsidRPr="00C02B90" w:rsidRDefault="00EE49E0" w:rsidP="00B62F35">
      <w:pPr>
        <w:spacing w:after="0" w:line="240" w:lineRule="auto"/>
        <w:jc w:val="center"/>
        <w:rPr>
          <w:rFonts w:ascii="Times New Roman" w:hAnsi="Times New Roman" w:cs="Times New Roman"/>
          <w:b/>
          <w:bCs/>
          <w:sz w:val="28"/>
          <w:szCs w:val="28"/>
        </w:rPr>
      </w:pPr>
      <w:r w:rsidRPr="00C02B90">
        <w:rPr>
          <w:rFonts w:ascii="Times New Roman" w:hAnsi="Times New Roman" w:cs="Times New Roman"/>
          <w:b/>
          <w:bCs/>
          <w:sz w:val="28"/>
          <w:szCs w:val="28"/>
        </w:rPr>
        <w:t>Инвестиции</w:t>
      </w:r>
    </w:p>
    <w:p w:rsidR="00EE49E0" w:rsidRPr="00C02B90" w:rsidRDefault="00EE49E0" w:rsidP="005B0C33">
      <w:pPr>
        <w:shd w:val="clear" w:color="auto" w:fill="FFFFFF"/>
        <w:spacing w:after="0" w:line="240" w:lineRule="auto"/>
        <w:ind w:firstLine="708"/>
        <w:jc w:val="both"/>
        <w:rPr>
          <w:rFonts w:ascii="Times New Roman" w:hAnsi="Times New Roman" w:cs="Times New Roman"/>
          <w:sz w:val="28"/>
          <w:szCs w:val="28"/>
        </w:rPr>
      </w:pPr>
      <w:r w:rsidRPr="00C02B90">
        <w:rPr>
          <w:rFonts w:ascii="Times New Roman" w:hAnsi="Times New Roman" w:cs="Times New Roman"/>
          <w:sz w:val="28"/>
          <w:szCs w:val="28"/>
        </w:rPr>
        <w:t>По данным мониторинга объем инвестиций в основной капитал по полному кругу хозяйствующих субъектов (за исключением бюджетных средств) за 9 месяцев 2024 года составил 1462,63 млн. рублей. По состоянию на 01 октября 2024 года в округе продолжается реализация 11 инвестиционных проектов.</w:t>
      </w:r>
    </w:p>
    <w:p w:rsidR="00EE49E0" w:rsidRPr="00C02B90" w:rsidRDefault="00EE49E0" w:rsidP="0040151F">
      <w:pPr>
        <w:shd w:val="clear" w:color="auto" w:fill="FFFFFF"/>
        <w:spacing w:after="0" w:line="240" w:lineRule="auto"/>
        <w:ind w:firstLine="709"/>
        <w:jc w:val="both"/>
        <w:rPr>
          <w:rFonts w:ascii="Times New Roman" w:hAnsi="Times New Roman" w:cs="Times New Roman"/>
          <w:sz w:val="28"/>
          <w:szCs w:val="28"/>
        </w:rPr>
      </w:pPr>
      <w:r w:rsidRPr="00C02B90">
        <w:rPr>
          <w:rFonts w:ascii="Times New Roman" w:hAnsi="Times New Roman" w:cs="Times New Roman"/>
          <w:sz w:val="28"/>
          <w:szCs w:val="28"/>
        </w:rPr>
        <w:t xml:space="preserve">По итогам 2024 года объем инвестиций крупных и средних предприятий в основной капитал за счет всех источников финансирования (без субъектов малого предпринимательства и объемов инвестиций, не наблюдаемых прямыми статистическими методами) оценивается в сумме 2140,31 млн. рублей или 37,68% к аналогичному показателю 2023 года (в сопоставимых ценах). Снижение показателя обусловлено завершением в 2023 году двух крупных инвестиционных проектов в сфере энергетики. </w:t>
      </w:r>
    </w:p>
    <w:p w:rsidR="00EE49E0" w:rsidRPr="00C02B90" w:rsidRDefault="00EE49E0" w:rsidP="0040151F">
      <w:pPr>
        <w:shd w:val="clear" w:color="auto" w:fill="FFFFFF"/>
        <w:tabs>
          <w:tab w:val="left" w:pos="735"/>
        </w:tabs>
        <w:spacing w:after="0" w:line="240" w:lineRule="auto"/>
        <w:ind w:firstLine="709"/>
        <w:jc w:val="both"/>
        <w:rPr>
          <w:rFonts w:ascii="Times New Roman" w:hAnsi="Times New Roman" w:cs="Times New Roman"/>
          <w:sz w:val="28"/>
          <w:szCs w:val="28"/>
        </w:rPr>
      </w:pPr>
      <w:r w:rsidRPr="00C02B90">
        <w:rPr>
          <w:rFonts w:ascii="Times New Roman" w:hAnsi="Times New Roman" w:cs="Times New Roman"/>
          <w:sz w:val="28"/>
          <w:szCs w:val="28"/>
        </w:rPr>
        <w:t>В базовом варианте прогноза в 2025 году объем инвестиций в экономику округа прогнозируется в сумме 2140,17 млн. рублей при темпе роста 97,10% к 2024 году (в сопоставимых ценах), на долю предприятий, не относящихся к субъектам МСП, будет приходится более 65,00% всего объема инвестиций.</w:t>
      </w:r>
      <w:r w:rsidRPr="00C02B90">
        <w:rPr>
          <w:rFonts w:ascii="Times New Roman" w:hAnsi="Times New Roman" w:cs="Times New Roman"/>
          <w:color w:val="FF0000"/>
          <w:sz w:val="28"/>
          <w:szCs w:val="28"/>
        </w:rPr>
        <w:t xml:space="preserve"> </w:t>
      </w:r>
      <w:r w:rsidRPr="00C02B90">
        <w:rPr>
          <w:rFonts w:ascii="Times New Roman" w:hAnsi="Times New Roman" w:cs="Times New Roman"/>
          <w:sz w:val="28"/>
          <w:szCs w:val="28"/>
        </w:rPr>
        <w:t xml:space="preserve">В 2027 году объем инвестиций данной категории хозяйствующих субъектов достигнет 1980,51 млн. рублей. </w:t>
      </w:r>
    </w:p>
    <w:p w:rsidR="00EE49E0" w:rsidRPr="00C02B90" w:rsidRDefault="00EE49E0" w:rsidP="005B0C33">
      <w:pPr>
        <w:shd w:val="clear" w:color="auto" w:fill="FFFFFF"/>
        <w:tabs>
          <w:tab w:val="left" w:pos="735"/>
        </w:tabs>
        <w:spacing w:after="0" w:line="240" w:lineRule="auto"/>
        <w:ind w:firstLine="709"/>
        <w:jc w:val="both"/>
        <w:rPr>
          <w:rFonts w:ascii="Times New Roman" w:hAnsi="Times New Roman" w:cs="Times New Roman"/>
          <w:sz w:val="28"/>
          <w:szCs w:val="28"/>
        </w:rPr>
      </w:pPr>
      <w:r w:rsidRPr="00C02B90">
        <w:rPr>
          <w:rFonts w:ascii="Times New Roman" w:hAnsi="Times New Roman" w:cs="Times New Roman"/>
          <w:sz w:val="28"/>
          <w:szCs w:val="28"/>
        </w:rPr>
        <w:t xml:space="preserve">В 2025 - 2027 годах промышленными и сельскохозяйственными предприятиями округа на инвестиционную деятельность планируется направить 1323,47 млн. рублей. Основными факторами, сдерживающими инвестиционное развитие округа, остаются дефицит энергоресурсов (отсутствие свободных мощностей водоснабжения) и необходимой инженерной инфраструктуры, а также высокая стоимость кредитных средств. </w:t>
      </w:r>
    </w:p>
    <w:p w:rsidR="00EE49E0" w:rsidRPr="00C02B90" w:rsidRDefault="00EE49E0" w:rsidP="0040151F">
      <w:pPr>
        <w:spacing w:after="0" w:line="240" w:lineRule="auto"/>
        <w:ind w:firstLine="709"/>
        <w:jc w:val="center"/>
        <w:rPr>
          <w:rFonts w:ascii="Times New Roman" w:hAnsi="Times New Roman" w:cs="Times New Roman"/>
          <w:b/>
          <w:bCs/>
          <w:sz w:val="28"/>
          <w:szCs w:val="28"/>
          <w:lang w:eastAsia="en-US"/>
        </w:rPr>
      </w:pPr>
    </w:p>
    <w:p w:rsidR="00EE49E0" w:rsidRPr="00C02B90" w:rsidRDefault="00EE49E0" w:rsidP="00B62F35">
      <w:pPr>
        <w:spacing w:after="0" w:line="240" w:lineRule="auto"/>
        <w:jc w:val="center"/>
        <w:rPr>
          <w:rFonts w:ascii="Times New Roman" w:hAnsi="Times New Roman" w:cs="Times New Roman"/>
          <w:b/>
          <w:bCs/>
          <w:sz w:val="28"/>
          <w:szCs w:val="28"/>
          <w:lang w:eastAsia="en-US"/>
        </w:rPr>
      </w:pPr>
      <w:r w:rsidRPr="00C02B90">
        <w:rPr>
          <w:rFonts w:ascii="Times New Roman" w:hAnsi="Times New Roman" w:cs="Times New Roman"/>
          <w:b/>
          <w:bCs/>
          <w:sz w:val="28"/>
          <w:szCs w:val="28"/>
          <w:lang w:eastAsia="en-US"/>
        </w:rPr>
        <w:t>Бюджет</w:t>
      </w:r>
    </w:p>
    <w:p w:rsidR="00EE49E0" w:rsidRPr="00C02B90" w:rsidRDefault="00EE49E0" w:rsidP="0040151F">
      <w:pPr>
        <w:spacing w:after="0" w:line="240" w:lineRule="auto"/>
        <w:ind w:firstLine="709"/>
        <w:jc w:val="both"/>
        <w:rPr>
          <w:rFonts w:ascii="Times New Roman" w:hAnsi="Times New Roman" w:cs="Times New Roman"/>
          <w:sz w:val="28"/>
          <w:szCs w:val="28"/>
        </w:rPr>
      </w:pPr>
      <w:r w:rsidRPr="00C02B90">
        <w:rPr>
          <w:rFonts w:ascii="Times New Roman" w:hAnsi="Times New Roman" w:cs="Times New Roman"/>
          <w:sz w:val="28"/>
          <w:szCs w:val="28"/>
        </w:rPr>
        <w:t xml:space="preserve">В бюджет Петровского муниципального округа Ставропольского края (далее – бюджет округа) за 9 месяцев 2024 года поступило 1956,0 млн. рублей доходов. По состоянию на 01 октября 2024 года доходная часть бюджета округа исполнена на 66,7% к годовым бюджетным назначениям (запланировано 2931,6 млн. рублей). В общей сумме поступлений 33,4% или 653,7 млн. рублей составили налоговые и неналоговые доходы. Безвозмездные поступления занимают 66,6% всех доходов бюджета округа. </w:t>
      </w:r>
    </w:p>
    <w:p w:rsidR="00EE49E0" w:rsidRPr="00C02B90" w:rsidRDefault="00EE49E0" w:rsidP="0040151F">
      <w:pPr>
        <w:spacing w:after="0" w:line="240" w:lineRule="auto"/>
        <w:ind w:firstLine="709"/>
        <w:jc w:val="both"/>
        <w:rPr>
          <w:rFonts w:ascii="Times New Roman" w:hAnsi="Times New Roman" w:cs="Times New Roman"/>
          <w:sz w:val="28"/>
          <w:szCs w:val="28"/>
          <w:highlight w:val="yellow"/>
        </w:rPr>
      </w:pPr>
      <w:r w:rsidRPr="00C02B90">
        <w:rPr>
          <w:rFonts w:ascii="Times New Roman" w:hAnsi="Times New Roman" w:cs="Times New Roman"/>
          <w:sz w:val="28"/>
          <w:szCs w:val="28"/>
        </w:rPr>
        <w:t>Основным источником налоговых и неналоговых поступлений является налог на доходы физических лиц (далее - НДФЛ).</w:t>
      </w:r>
      <w:r w:rsidRPr="00C02B90">
        <w:rPr>
          <w:rFonts w:ascii="Times New Roman" w:hAnsi="Times New Roman" w:cs="Times New Roman"/>
          <w:color w:val="FF0000"/>
          <w:sz w:val="28"/>
          <w:szCs w:val="28"/>
        </w:rPr>
        <w:t xml:space="preserve"> </w:t>
      </w:r>
      <w:r w:rsidRPr="00C02B90">
        <w:rPr>
          <w:rFonts w:ascii="Times New Roman" w:hAnsi="Times New Roman" w:cs="Times New Roman"/>
          <w:sz w:val="28"/>
          <w:szCs w:val="28"/>
        </w:rPr>
        <w:t>В текущем году в бюджет округа НДФЛ поступает по нормативу 62,3%, (+19,45% к 2023 году). За 9 месяцев 2024 года в общем объеме налоговых и неналоговых доходов на долю НДФЛ приходится 61,50% (прирост в сравнении с аналогичным периодом 2023 года - 8,6%), плановые назначения по налогу выполнены на 120,90%.</w:t>
      </w:r>
    </w:p>
    <w:p w:rsidR="00EE49E0" w:rsidRPr="00C02B90" w:rsidRDefault="00EE49E0" w:rsidP="00C96A29">
      <w:pPr>
        <w:spacing w:after="0" w:line="240" w:lineRule="auto"/>
        <w:ind w:firstLine="709"/>
        <w:jc w:val="both"/>
        <w:rPr>
          <w:rFonts w:ascii="Times New Roman" w:hAnsi="Times New Roman" w:cs="Times New Roman"/>
          <w:sz w:val="28"/>
          <w:szCs w:val="28"/>
        </w:rPr>
      </w:pPr>
      <w:r w:rsidRPr="00C02B90">
        <w:rPr>
          <w:rFonts w:ascii="Times New Roman" w:hAnsi="Times New Roman" w:cs="Times New Roman"/>
          <w:sz w:val="28"/>
          <w:szCs w:val="28"/>
          <w:lang w:eastAsia="en-US"/>
        </w:rPr>
        <w:t>Основные характеристики бюджета на 2024 год и плановый период 2025 и 2026 годов сформированы с учетом обязательств, направленных на обеспечение сбалансированности бюджета округа.</w:t>
      </w:r>
      <w:r w:rsidRPr="00C02B90">
        <w:rPr>
          <w:rFonts w:ascii="Times New Roman" w:hAnsi="Times New Roman" w:cs="Times New Roman"/>
          <w:sz w:val="28"/>
          <w:szCs w:val="28"/>
        </w:rPr>
        <w:t xml:space="preserve"> Объем планируемых расходов бюджета округа на 2024 год за 9 месяцев 2024 года увеличился по сравнению с первоначально принятым бюджетом на 545,10 млн. рублей и достиг 3067,90 млн. рублей. Расходная часть бюджета округа сформирована на основе 14 муниципальных программ, охватывающих все сферы деятельности органов местного самоуправления округа. Кассовое исполнение за этот период сложилось в сумме 1892,20 млн. рублей или 61,70% к уточненному годовому плану. </w:t>
      </w:r>
    </w:p>
    <w:p w:rsidR="00EE49E0" w:rsidRPr="00C02B90" w:rsidRDefault="00EE49E0" w:rsidP="00C96A29">
      <w:pPr>
        <w:spacing w:after="0" w:line="240" w:lineRule="auto"/>
        <w:ind w:firstLine="709"/>
        <w:jc w:val="both"/>
        <w:rPr>
          <w:rFonts w:ascii="Times New Roman" w:hAnsi="Times New Roman" w:cs="Times New Roman"/>
          <w:sz w:val="28"/>
          <w:szCs w:val="28"/>
        </w:rPr>
      </w:pPr>
      <w:r w:rsidRPr="00C02B90">
        <w:rPr>
          <w:rFonts w:ascii="Times New Roman" w:hAnsi="Times New Roman" w:cs="Times New Roman"/>
          <w:sz w:val="28"/>
          <w:szCs w:val="28"/>
        </w:rPr>
        <w:t xml:space="preserve">В текущем году на территории округа в рамках муниципальных программ осуществляется реализация 6 региональных проектов Ставропольского края (далее – региональные проекты), которые направлены на выполнение 4 национальных проектов: </w:t>
      </w:r>
    </w:p>
    <w:p w:rsidR="00EE49E0" w:rsidRPr="00C02B90" w:rsidRDefault="00EE49E0" w:rsidP="007C0A3B">
      <w:pPr>
        <w:spacing w:after="0" w:line="240" w:lineRule="auto"/>
        <w:ind w:firstLine="709"/>
        <w:jc w:val="right"/>
        <w:rPr>
          <w:rFonts w:ascii="Times New Roman" w:hAnsi="Times New Roman" w:cs="Times New Roman"/>
          <w:sz w:val="28"/>
          <w:szCs w:val="28"/>
        </w:rPr>
      </w:pPr>
      <w:r w:rsidRPr="00C02B90">
        <w:rPr>
          <w:rFonts w:ascii="Times New Roman" w:hAnsi="Times New Roman" w:cs="Times New Roman"/>
          <w:sz w:val="28"/>
          <w:szCs w:val="28"/>
        </w:rPr>
        <w:t>(тыс. руб.)</w:t>
      </w:r>
    </w:p>
    <w:tbl>
      <w:tblPr>
        <w:tblW w:w="949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93"/>
        <w:gridCol w:w="3577"/>
        <w:gridCol w:w="1276"/>
        <w:gridCol w:w="1369"/>
        <w:gridCol w:w="1183"/>
      </w:tblGrid>
      <w:tr w:rsidR="00EE49E0" w:rsidRPr="00C02B90">
        <w:trPr>
          <w:trHeight w:val="20"/>
        </w:trPr>
        <w:tc>
          <w:tcPr>
            <w:tcW w:w="2093" w:type="dxa"/>
            <w:vAlign w:val="center"/>
          </w:tcPr>
          <w:p w:rsidR="00EE49E0" w:rsidRPr="00C02B90" w:rsidRDefault="00EE49E0" w:rsidP="007C0A3B">
            <w:pPr>
              <w:spacing w:after="0" w:line="240" w:lineRule="exact"/>
              <w:jc w:val="center"/>
              <w:rPr>
                <w:rFonts w:ascii="Times New Roman" w:hAnsi="Times New Roman" w:cs="Times New Roman"/>
                <w:sz w:val="28"/>
                <w:szCs w:val="28"/>
                <w:lang w:eastAsia="en-US"/>
              </w:rPr>
            </w:pPr>
            <w:r w:rsidRPr="00C02B90">
              <w:rPr>
                <w:rFonts w:ascii="Times New Roman" w:hAnsi="Times New Roman" w:cs="Times New Roman"/>
                <w:sz w:val="28"/>
                <w:szCs w:val="28"/>
                <w:lang w:eastAsia="en-US"/>
              </w:rPr>
              <w:t>Наименование национального проекта</w:t>
            </w:r>
          </w:p>
        </w:tc>
        <w:tc>
          <w:tcPr>
            <w:tcW w:w="3577" w:type="dxa"/>
            <w:vAlign w:val="center"/>
          </w:tcPr>
          <w:p w:rsidR="00EE49E0" w:rsidRPr="00C02B90" w:rsidRDefault="00EE49E0" w:rsidP="007C0A3B">
            <w:pPr>
              <w:spacing w:after="0" w:line="240" w:lineRule="exact"/>
              <w:jc w:val="center"/>
              <w:rPr>
                <w:rFonts w:ascii="Times New Roman" w:hAnsi="Times New Roman" w:cs="Times New Roman"/>
                <w:color w:val="000000"/>
                <w:sz w:val="28"/>
                <w:szCs w:val="28"/>
                <w:lang w:eastAsia="en-US"/>
              </w:rPr>
            </w:pPr>
            <w:r w:rsidRPr="00C02B90">
              <w:rPr>
                <w:rFonts w:ascii="Times New Roman" w:hAnsi="Times New Roman" w:cs="Times New Roman"/>
                <w:sz w:val="28"/>
                <w:szCs w:val="28"/>
                <w:lang w:eastAsia="en-US"/>
              </w:rPr>
              <w:t>Наименование регионального проекта</w:t>
            </w:r>
          </w:p>
        </w:tc>
        <w:tc>
          <w:tcPr>
            <w:tcW w:w="1276" w:type="dxa"/>
            <w:vAlign w:val="center"/>
          </w:tcPr>
          <w:p w:rsidR="00EE49E0" w:rsidRPr="00C02B90" w:rsidRDefault="00EE49E0" w:rsidP="007C0A3B">
            <w:pPr>
              <w:autoSpaceDE w:val="0"/>
              <w:autoSpaceDN w:val="0"/>
              <w:adjustRightInd w:val="0"/>
              <w:spacing w:after="0" w:line="240" w:lineRule="exact"/>
              <w:jc w:val="center"/>
              <w:rPr>
                <w:rFonts w:ascii="Times New Roman" w:hAnsi="Times New Roman" w:cs="Times New Roman"/>
                <w:sz w:val="28"/>
                <w:szCs w:val="28"/>
              </w:rPr>
            </w:pPr>
            <w:r w:rsidRPr="00C02B90">
              <w:rPr>
                <w:rFonts w:ascii="Times New Roman" w:hAnsi="Times New Roman" w:cs="Times New Roman"/>
                <w:sz w:val="28"/>
                <w:szCs w:val="28"/>
              </w:rPr>
              <w:t>Заплани-ровано</w:t>
            </w:r>
          </w:p>
          <w:p w:rsidR="00EE49E0" w:rsidRPr="00C02B90" w:rsidRDefault="00EE49E0" w:rsidP="007C0A3B">
            <w:pPr>
              <w:autoSpaceDE w:val="0"/>
              <w:autoSpaceDN w:val="0"/>
              <w:adjustRightInd w:val="0"/>
              <w:spacing w:after="0" w:line="240" w:lineRule="exact"/>
              <w:jc w:val="center"/>
              <w:rPr>
                <w:rFonts w:ascii="Times New Roman" w:hAnsi="Times New Roman" w:cs="Times New Roman"/>
                <w:sz w:val="28"/>
                <w:szCs w:val="28"/>
              </w:rPr>
            </w:pPr>
            <w:r w:rsidRPr="00C02B90">
              <w:rPr>
                <w:rFonts w:ascii="Times New Roman" w:hAnsi="Times New Roman" w:cs="Times New Roman"/>
                <w:sz w:val="28"/>
                <w:szCs w:val="28"/>
              </w:rPr>
              <w:t xml:space="preserve">в 2024 г. </w:t>
            </w:r>
          </w:p>
        </w:tc>
        <w:tc>
          <w:tcPr>
            <w:tcW w:w="1369" w:type="dxa"/>
            <w:vAlign w:val="center"/>
          </w:tcPr>
          <w:p w:rsidR="00EE49E0" w:rsidRPr="00C02B90" w:rsidRDefault="00EE49E0" w:rsidP="007C0A3B">
            <w:pPr>
              <w:spacing w:after="0" w:line="240" w:lineRule="exact"/>
              <w:jc w:val="center"/>
              <w:rPr>
                <w:rFonts w:ascii="Times New Roman" w:hAnsi="Times New Roman" w:cs="Times New Roman"/>
                <w:sz w:val="28"/>
                <w:szCs w:val="28"/>
              </w:rPr>
            </w:pPr>
            <w:r w:rsidRPr="00C02B90">
              <w:rPr>
                <w:rFonts w:ascii="Times New Roman" w:hAnsi="Times New Roman" w:cs="Times New Roman"/>
                <w:sz w:val="28"/>
                <w:szCs w:val="28"/>
              </w:rPr>
              <w:t xml:space="preserve">Исполнено за 9 мес. 2024 г. </w:t>
            </w:r>
          </w:p>
        </w:tc>
        <w:tc>
          <w:tcPr>
            <w:tcW w:w="1183" w:type="dxa"/>
          </w:tcPr>
          <w:p w:rsidR="00EE49E0" w:rsidRPr="00C02B90" w:rsidRDefault="00EE49E0" w:rsidP="007C0A3B">
            <w:pPr>
              <w:autoSpaceDE w:val="0"/>
              <w:autoSpaceDN w:val="0"/>
              <w:adjustRightInd w:val="0"/>
              <w:spacing w:after="0" w:line="240" w:lineRule="exact"/>
              <w:jc w:val="center"/>
              <w:rPr>
                <w:rFonts w:ascii="Times New Roman" w:hAnsi="Times New Roman" w:cs="Times New Roman"/>
                <w:sz w:val="28"/>
                <w:szCs w:val="28"/>
              </w:rPr>
            </w:pPr>
            <w:r w:rsidRPr="00C02B90">
              <w:rPr>
                <w:rFonts w:ascii="Times New Roman" w:hAnsi="Times New Roman" w:cs="Times New Roman"/>
                <w:sz w:val="28"/>
                <w:szCs w:val="28"/>
              </w:rPr>
              <w:t>Испол-нение,</w:t>
            </w:r>
          </w:p>
          <w:p w:rsidR="00EE49E0" w:rsidRPr="00C02B90" w:rsidRDefault="00EE49E0" w:rsidP="007C0A3B">
            <w:pPr>
              <w:spacing w:after="0" w:line="240" w:lineRule="exact"/>
              <w:jc w:val="center"/>
              <w:rPr>
                <w:rFonts w:ascii="Times New Roman" w:hAnsi="Times New Roman" w:cs="Times New Roman"/>
                <w:sz w:val="28"/>
                <w:szCs w:val="28"/>
              </w:rPr>
            </w:pPr>
            <w:r w:rsidRPr="00C02B90">
              <w:rPr>
                <w:rFonts w:ascii="Times New Roman" w:hAnsi="Times New Roman" w:cs="Times New Roman"/>
                <w:sz w:val="28"/>
                <w:szCs w:val="28"/>
              </w:rPr>
              <w:t>(%)</w:t>
            </w:r>
          </w:p>
        </w:tc>
      </w:tr>
      <w:tr w:rsidR="00EE49E0" w:rsidRPr="00C02B90">
        <w:trPr>
          <w:trHeight w:val="20"/>
        </w:trPr>
        <w:tc>
          <w:tcPr>
            <w:tcW w:w="2093" w:type="dxa"/>
            <w:vMerge w:val="restart"/>
            <w:vAlign w:val="center"/>
          </w:tcPr>
          <w:p w:rsidR="00EE49E0" w:rsidRPr="00C02B90" w:rsidRDefault="00EE49E0" w:rsidP="007C0A3B">
            <w:pPr>
              <w:spacing w:after="0" w:line="240" w:lineRule="exact"/>
              <w:rPr>
                <w:rFonts w:ascii="Times New Roman" w:hAnsi="Times New Roman" w:cs="Times New Roman"/>
                <w:sz w:val="28"/>
                <w:szCs w:val="28"/>
                <w:lang w:eastAsia="en-US"/>
              </w:rPr>
            </w:pPr>
            <w:r w:rsidRPr="00C02B90">
              <w:rPr>
                <w:rFonts w:ascii="Times New Roman" w:hAnsi="Times New Roman" w:cs="Times New Roman"/>
                <w:sz w:val="28"/>
                <w:szCs w:val="28"/>
                <w:lang w:eastAsia="en-US"/>
              </w:rPr>
              <w:t>«Образование»</w:t>
            </w:r>
          </w:p>
        </w:tc>
        <w:tc>
          <w:tcPr>
            <w:tcW w:w="3577" w:type="dxa"/>
          </w:tcPr>
          <w:p w:rsidR="00EE49E0" w:rsidRPr="00C02B90" w:rsidRDefault="00EE49E0" w:rsidP="007C0A3B">
            <w:pPr>
              <w:spacing w:after="0" w:line="240" w:lineRule="exact"/>
              <w:jc w:val="both"/>
              <w:rPr>
                <w:rFonts w:ascii="Times New Roman" w:hAnsi="Times New Roman" w:cs="Times New Roman"/>
                <w:sz w:val="28"/>
                <w:szCs w:val="28"/>
                <w:lang w:eastAsia="en-US"/>
              </w:rPr>
            </w:pPr>
            <w:r w:rsidRPr="00C02B90">
              <w:rPr>
                <w:rFonts w:ascii="Times New Roman" w:hAnsi="Times New Roman" w:cs="Times New Roman"/>
                <w:sz w:val="28"/>
                <w:szCs w:val="28"/>
                <w:lang w:eastAsia="en-US"/>
              </w:rPr>
              <w:t>«Успех каждого ребенка»</w:t>
            </w:r>
          </w:p>
        </w:tc>
        <w:tc>
          <w:tcPr>
            <w:tcW w:w="1276" w:type="dxa"/>
          </w:tcPr>
          <w:p w:rsidR="00EE49E0" w:rsidRPr="00C02B90" w:rsidRDefault="00EE49E0" w:rsidP="007C0A3B">
            <w:pPr>
              <w:spacing w:after="0" w:line="240" w:lineRule="exact"/>
              <w:jc w:val="center"/>
              <w:rPr>
                <w:rFonts w:ascii="Times New Roman" w:hAnsi="Times New Roman" w:cs="Times New Roman"/>
                <w:sz w:val="28"/>
                <w:szCs w:val="28"/>
                <w:lang w:eastAsia="en-US"/>
              </w:rPr>
            </w:pPr>
            <w:r w:rsidRPr="00C02B90">
              <w:rPr>
                <w:rFonts w:ascii="Times New Roman" w:hAnsi="Times New Roman" w:cs="Times New Roman"/>
                <w:sz w:val="28"/>
                <w:szCs w:val="28"/>
                <w:lang w:eastAsia="en-US"/>
              </w:rPr>
              <w:t>1 586,4</w:t>
            </w:r>
          </w:p>
        </w:tc>
        <w:tc>
          <w:tcPr>
            <w:tcW w:w="1369" w:type="dxa"/>
          </w:tcPr>
          <w:p w:rsidR="00EE49E0" w:rsidRPr="00C02B90" w:rsidRDefault="00EE49E0" w:rsidP="007C0A3B">
            <w:pPr>
              <w:spacing w:after="0" w:line="240" w:lineRule="exact"/>
              <w:jc w:val="center"/>
              <w:rPr>
                <w:rFonts w:ascii="Times New Roman" w:hAnsi="Times New Roman" w:cs="Times New Roman"/>
                <w:sz w:val="28"/>
                <w:szCs w:val="28"/>
                <w:lang w:eastAsia="en-US"/>
              </w:rPr>
            </w:pPr>
            <w:r w:rsidRPr="00C02B90">
              <w:rPr>
                <w:rFonts w:ascii="Times New Roman" w:hAnsi="Times New Roman" w:cs="Times New Roman"/>
                <w:sz w:val="28"/>
                <w:szCs w:val="28"/>
                <w:lang w:eastAsia="en-US"/>
              </w:rPr>
              <w:t>1 586,4</w:t>
            </w:r>
          </w:p>
        </w:tc>
        <w:tc>
          <w:tcPr>
            <w:tcW w:w="1183" w:type="dxa"/>
          </w:tcPr>
          <w:p w:rsidR="00EE49E0" w:rsidRPr="00C02B90" w:rsidRDefault="00EE49E0" w:rsidP="007C0A3B">
            <w:pPr>
              <w:spacing w:after="0" w:line="240" w:lineRule="exact"/>
              <w:jc w:val="center"/>
              <w:rPr>
                <w:rFonts w:ascii="Times New Roman" w:hAnsi="Times New Roman" w:cs="Times New Roman"/>
                <w:sz w:val="28"/>
                <w:szCs w:val="28"/>
                <w:lang w:eastAsia="en-US"/>
              </w:rPr>
            </w:pPr>
            <w:r w:rsidRPr="00C02B90">
              <w:rPr>
                <w:rFonts w:ascii="Times New Roman" w:hAnsi="Times New Roman" w:cs="Times New Roman"/>
                <w:sz w:val="28"/>
                <w:szCs w:val="28"/>
                <w:lang w:eastAsia="en-US"/>
              </w:rPr>
              <w:t>100,0</w:t>
            </w:r>
          </w:p>
        </w:tc>
      </w:tr>
      <w:tr w:rsidR="00EE49E0" w:rsidRPr="00C02B90">
        <w:trPr>
          <w:trHeight w:val="20"/>
        </w:trPr>
        <w:tc>
          <w:tcPr>
            <w:tcW w:w="2093" w:type="dxa"/>
            <w:vMerge/>
            <w:vAlign w:val="center"/>
          </w:tcPr>
          <w:p w:rsidR="00EE49E0" w:rsidRPr="00C02B90" w:rsidRDefault="00EE49E0" w:rsidP="007C0A3B">
            <w:pPr>
              <w:spacing w:after="0" w:line="240" w:lineRule="exact"/>
              <w:rPr>
                <w:rFonts w:ascii="Times New Roman" w:hAnsi="Times New Roman" w:cs="Times New Roman"/>
                <w:sz w:val="28"/>
                <w:szCs w:val="28"/>
                <w:lang w:eastAsia="en-US"/>
              </w:rPr>
            </w:pPr>
          </w:p>
        </w:tc>
        <w:tc>
          <w:tcPr>
            <w:tcW w:w="3577" w:type="dxa"/>
          </w:tcPr>
          <w:p w:rsidR="00EE49E0" w:rsidRPr="00C02B90" w:rsidRDefault="00EE49E0" w:rsidP="007C0A3B">
            <w:pPr>
              <w:spacing w:after="0" w:line="240" w:lineRule="exact"/>
              <w:jc w:val="both"/>
              <w:rPr>
                <w:rFonts w:ascii="Times New Roman" w:hAnsi="Times New Roman" w:cs="Times New Roman"/>
                <w:sz w:val="28"/>
                <w:szCs w:val="28"/>
                <w:lang w:eastAsia="en-US"/>
              </w:rPr>
            </w:pPr>
            <w:r w:rsidRPr="00C02B90">
              <w:rPr>
                <w:rFonts w:ascii="Times New Roman" w:hAnsi="Times New Roman" w:cs="Times New Roman"/>
                <w:sz w:val="28"/>
                <w:szCs w:val="28"/>
                <w:lang w:eastAsia="en-US"/>
              </w:rPr>
              <w:t>«Патриотическое воспитание граждан РФ»</w:t>
            </w:r>
          </w:p>
        </w:tc>
        <w:tc>
          <w:tcPr>
            <w:tcW w:w="1276" w:type="dxa"/>
          </w:tcPr>
          <w:p w:rsidR="00EE49E0" w:rsidRPr="00C02B90" w:rsidRDefault="00EE49E0" w:rsidP="007C0A3B">
            <w:pPr>
              <w:spacing w:after="0" w:line="240" w:lineRule="exact"/>
              <w:jc w:val="center"/>
              <w:rPr>
                <w:rFonts w:ascii="Times New Roman" w:hAnsi="Times New Roman" w:cs="Times New Roman"/>
                <w:sz w:val="28"/>
                <w:szCs w:val="28"/>
                <w:lang w:eastAsia="en-US"/>
              </w:rPr>
            </w:pPr>
            <w:r w:rsidRPr="00C02B90">
              <w:rPr>
                <w:rFonts w:ascii="Times New Roman" w:hAnsi="Times New Roman" w:cs="Times New Roman"/>
                <w:sz w:val="28"/>
                <w:szCs w:val="28"/>
                <w:lang w:eastAsia="en-US"/>
              </w:rPr>
              <w:t>4 985,4</w:t>
            </w:r>
          </w:p>
        </w:tc>
        <w:tc>
          <w:tcPr>
            <w:tcW w:w="1369" w:type="dxa"/>
          </w:tcPr>
          <w:p w:rsidR="00EE49E0" w:rsidRPr="00C02B90" w:rsidRDefault="00EE49E0" w:rsidP="007C0A3B">
            <w:pPr>
              <w:spacing w:after="0" w:line="240" w:lineRule="exact"/>
              <w:jc w:val="center"/>
              <w:rPr>
                <w:rFonts w:ascii="Times New Roman" w:hAnsi="Times New Roman" w:cs="Times New Roman"/>
                <w:sz w:val="28"/>
                <w:szCs w:val="28"/>
                <w:lang w:eastAsia="en-US"/>
              </w:rPr>
            </w:pPr>
            <w:r w:rsidRPr="00C02B90">
              <w:rPr>
                <w:rFonts w:ascii="Times New Roman" w:hAnsi="Times New Roman" w:cs="Times New Roman"/>
                <w:sz w:val="28"/>
                <w:szCs w:val="28"/>
                <w:lang w:eastAsia="en-US"/>
              </w:rPr>
              <w:t>3 314,3</w:t>
            </w:r>
          </w:p>
        </w:tc>
        <w:tc>
          <w:tcPr>
            <w:tcW w:w="1183" w:type="dxa"/>
          </w:tcPr>
          <w:p w:rsidR="00EE49E0" w:rsidRPr="00C02B90" w:rsidRDefault="00EE49E0" w:rsidP="007C0A3B">
            <w:pPr>
              <w:spacing w:after="0" w:line="240" w:lineRule="exact"/>
              <w:jc w:val="center"/>
              <w:rPr>
                <w:rFonts w:ascii="Times New Roman" w:hAnsi="Times New Roman" w:cs="Times New Roman"/>
                <w:sz w:val="28"/>
                <w:szCs w:val="28"/>
                <w:lang w:eastAsia="en-US"/>
              </w:rPr>
            </w:pPr>
            <w:r w:rsidRPr="00C02B90">
              <w:rPr>
                <w:rFonts w:ascii="Times New Roman" w:hAnsi="Times New Roman" w:cs="Times New Roman"/>
                <w:sz w:val="28"/>
                <w:szCs w:val="28"/>
                <w:lang w:eastAsia="en-US"/>
              </w:rPr>
              <w:t>66,5</w:t>
            </w:r>
          </w:p>
        </w:tc>
      </w:tr>
      <w:tr w:rsidR="00EE49E0" w:rsidRPr="00C02B90">
        <w:trPr>
          <w:trHeight w:val="20"/>
        </w:trPr>
        <w:tc>
          <w:tcPr>
            <w:tcW w:w="2093" w:type="dxa"/>
            <w:vAlign w:val="center"/>
          </w:tcPr>
          <w:p w:rsidR="00EE49E0" w:rsidRPr="00C02B90" w:rsidRDefault="00EE49E0" w:rsidP="007C0A3B">
            <w:pPr>
              <w:spacing w:after="0" w:line="240" w:lineRule="exact"/>
              <w:rPr>
                <w:rFonts w:ascii="Times New Roman" w:hAnsi="Times New Roman" w:cs="Times New Roman"/>
                <w:sz w:val="28"/>
                <w:szCs w:val="28"/>
                <w:lang w:eastAsia="en-US"/>
              </w:rPr>
            </w:pPr>
            <w:r w:rsidRPr="00C02B90">
              <w:rPr>
                <w:rFonts w:ascii="Times New Roman" w:hAnsi="Times New Roman" w:cs="Times New Roman"/>
                <w:sz w:val="28"/>
                <w:szCs w:val="28"/>
                <w:lang w:eastAsia="en-US"/>
              </w:rPr>
              <w:t>«Демография»</w:t>
            </w:r>
          </w:p>
        </w:tc>
        <w:tc>
          <w:tcPr>
            <w:tcW w:w="3577" w:type="dxa"/>
          </w:tcPr>
          <w:p w:rsidR="00EE49E0" w:rsidRPr="00C02B90" w:rsidRDefault="00EE49E0" w:rsidP="007C0A3B">
            <w:pPr>
              <w:spacing w:after="0" w:line="240" w:lineRule="exact"/>
              <w:jc w:val="both"/>
              <w:rPr>
                <w:rFonts w:ascii="Times New Roman" w:hAnsi="Times New Roman" w:cs="Times New Roman"/>
                <w:sz w:val="28"/>
                <w:szCs w:val="28"/>
                <w:lang w:eastAsia="en-US"/>
              </w:rPr>
            </w:pPr>
            <w:r w:rsidRPr="00C02B90">
              <w:rPr>
                <w:rFonts w:ascii="Times New Roman" w:hAnsi="Times New Roman" w:cs="Times New Roman"/>
                <w:sz w:val="28"/>
                <w:szCs w:val="28"/>
                <w:lang w:eastAsia="en-US"/>
              </w:rPr>
              <w:t>«Финансовая поддержка семей при рождении детей»</w:t>
            </w:r>
          </w:p>
        </w:tc>
        <w:tc>
          <w:tcPr>
            <w:tcW w:w="1276" w:type="dxa"/>
          </w:tcPr>
          <w:p w:rsidR="00EE49E0" w:rsidRPr="00C02B90" w:rsidRDefault="00EE49E0" w:rsidP="007C0A3B">
            <w:pPr>
              <w:spacing w:after="0" w:line="240" w:lineRule="exact"/>
              <w:jc w:val="center"/>
              <w:rPr>
                <w:rFonts w:ascii="Times New Roman" w:hAnsi="Times New Roman" w:cs="Times New Roman"/>
                <w:sz w:val="28"/>
                <w:szCs w:val="28"/>
                <w:lang w:eastAsia="en-US"/>
              </w:rPr>
            </w:pPr>
            <w:r w:rsidRPr="00C02B90">
              <w:rPr>
                <w:rFonts w:ascii="Times New Roman" w:hAnsi="Times New Roman" w:cs="Times New Roman"/>
                <w:sz w:val="28"/>
                <w:szCs w:val="28"/>
                <w:lang w:eastAsia="en-US"/>
              </w:rPr>
              <w:t>14 986,9</w:t>
            </w:r>
          </w:p>
        </w:tc>
        <w:tc>
          <w:tcPr>
            <w:tcW w:w="1369" w:type="dxa"/>
          </w:tcPr>
          <w:p w:rsidR="00EE49E0" w:rsidRPr="00C02B90" w:rsidRDefault="00EE49E0" w:rsidP="007C0A3B">
            <w:pPr>
              <w:spacing w:after="0" w:line="240" w:lineRule="exact"/>
              <w:jc w:val="center"/>
              <w:rPr>
                <w:rFonts w:ascii="Times New Roman" w:hAnsi="Times New Roman" w:cs="Times New Roman"/>
                <w:sz w:val="28"/>
                <w:szCs w:val="28"/>
                <w:lang w:eastAsia="en-US"/>
              </w:rPr>
            </w:pPr>
            <w:r w:rsidRPr="00C02B90">
              <w:rPr>
                <w:rFonts w:ascii="Times New Roman" w:hAnsi="Times New Roman" w:cs="Times New Roman"/>
                <w:sz w:val="28"/>
                <w:szCs w:val="28"/>
                <w:lang w:eastAsia="en-US"/>
              </w:rPr>
              <w:t>12 261,2</w:t>
            </w:r>
          </w:p>
        </w:tc>
        <w:tc>
          <w:tcPr>
            <w:tcW w:w="1183" w:type="dxa"/>
          </w:tcPr>
          <w:p w:rsidR="00EE49E0" w:rsidRPr="00C02B90" w:rsidRDefault="00EE49E0" w:rsidP="007C0A3B">
            <w:pPr>
              <w:spacing w:after="0" w:line="240" w:lineRule="exact"/>
              <w:jc w:val="center"/>
              <w:rPr>
                <w:rFonts w:ascii="Times New Roman" w:hAnsi="Times New Roman" w:cs="Times New Roman"/>
                <w:sz w:val="28"/>
                <w:szCs w:val="28"/>
                <w:lang w:eastAsia="en-US"/>
              </w:rPr>
            </w:pPr>
            <w:r w:rsidRPr="00C02B90">
              <w:rPr>
                <w:rFonts w:ascii="Times New Roman" w:hAnsi="Times New Roman" w:cs="Times New Roman"/>
                <w:sz w:val="28"/>
                <w:szCs w:val="28"/>
                <w:lang w:eastAsia="en-US"/>
              </w:rPr>
              <w:t>81,8</w:t>
            </w:r>
          </w:p>
        </w:tc>
      </w:tr>
      <w:tr w:rsidR="00EE49E0" w:rsidRPr="00C02B90">
        <w:trPr>
          <w:trHeight w:val="20"/>
        </w:trPr>
        <w:tc>
          <w:tcPr>
            <w:tcW w:w="2093" w:type="dxa"/>
            <w:vMerge w:val="restart"/>
            <w:vAlign w:val="center"/>
          </w:tcPr>
          <w:p w:rsidR="00EE49E0" w:rsidRPr="00C02B90" w:rsidRDefault="00EE49E0" w:rsidP="007C0A3B">
            <w:pPr>
              <w:spacing w:after="0" w:line="240" w:lineRule="exact"/>
              <w:rPr>
                <w:rFonts w:ascii="Times New Roman" w:hAnsi="Times New Roman" w:cs="Times New Roman"/>
                <w:sz w:val="28"/>
                <w:szCs w:val="28"/>
                <w:lang w:eastAsia="en-US"/>
              </w:rPr>
            </w:pPr>
            <w:r w:rsidRPr="00C02B90">
              <w:rPr>
                <w:rFonts w:ascii="Times New Roman" w:hAnsi="Times New Roman" w:cs="Times New Roman"/>
                <w:sz w:val="28"/>
                <w:szCs w:val="28"/>
                <w:lang w:eastAsia="en-US"/>
              </w:rPr>
              <w:t>«Культура»</w:t>
            </w:r>
          </w:p>
        </w:tc>
        <w:tc>
          <w:tcPr>
            <w:tcW w:w="3577" w:type="dxa"/>
          </w:tcPr>
          <w:p w:rsidR="00EE49E0" w:rsidRPr="00C02B90" w:rsidRDefault="00EE49E0" w:rsidP="007C0A3B">
            <w:pPr>
              <w:spacing w:after="0" w:line="240" w:lineRule="exact"/>
              <w:jc w:val="both"/>
              <w:rPr>
                <w:rFonts w:ascii="Times New Roman" w:hAnsi="Times New Roman" w:cs="Times New Roman"/>
                <w:sz w:val="28"/>
                <w:szCs w:val="28"/>
                <w:lang w:eastAsia="en-US"/>
              </w:rPr>
            </w:pPr>
            <w:r w:rsidRPr="00C02B90">
              <w:rPr>
                <w:rFonts w:ascii="Times New Roman" w:hAnsi="Times New Roman" w:cs="Times New Roman"/>
                <w:sz w:val="28"/>
                <w:szCs w:val="28"/>
                <w:lang w:eastAsia="en-US"/>
              </w:rPr>
              <w:t>«Цифровая культура»</w:t>
            </w:r>
          </w:p>
        </w:tc>
        <w:tc>
          <w:tcPr>
            <w:tcW w:w="1276" w:type="dxa"/>
          </w:tcPr>
          <w:p w:rsidR="00EE49E0" w:rsidRPr="00C02B90" w:rsidRDefault="00EE49E0" w:rsidP="007C0A3B">
            <w:pPr>
              <w:spacing w:after="0" w:line="240" w:lineRule="exact"/>
              <w:jc w:val="center"/>
              <w:rPr>
                <w:rFonts w:ascii="Times New Roman" w:hAnsi="Times New Roman" w:cs="Times New Roman"/>
                <w:sz w:val="28"/>
                <w:szCs w:val="28"/>
                <w:lang w:eastAsia="en-US"/>
              </w:rPr>
            </w:pPr>
            <w:r w:rsidRPr="00C02B90">
              <w:rPr>
                <w:rFonts w:ascii="Times New Roman" w:hAnsi="Times New Roman" w:cs="Times New Roman"/>
                <w:sz w:val="28"/>
                <w:szCs w:val="28"/>
                <w:lang w:eastAsia="en-US"/>
              </w:rPr>
              <w:t>1 108,0</w:t>
            </w:r>
          </w:p>
        </w:tc>
        <w:tc>
          <w:tcPr>
            <w:tcW w:w="1369" w:type="dxa"/>
          </w:tcPr>
          <w:p w:rsidR="00EE49E0" w:rsidRPr="00C02B90" w:rsidRDefault="00EE49E0" w:rsidP="007C0A3B">
            <w:pPr>
              <w:spacing w:after="0" w:line="240" w:lineRule="exact"/>
              <w:jc w:val="center"/>
              <w:rPr>
                <w:rFonts w:ascii="Times New Roman" w:hAnsi="Times New Roman" w:cs="Times New Roman"/>
                <w:sz w:val="28"/>
                <w:szCs w:val="28"/>
                <w:lang w:eastAsia="en-US"/>
              </w:rPr>
            </w:pPr>
            <w:r w:rsidRPr="00C02B90">
              <w:rPr>
                <w:rFonts w:ascii="Times New Roman" w:hAnsi="Times New Roman" w:cs="Times New Roman"/>
                <w:sz w:val="28"/>
                <w:szCs w:val="28"/>
                <w:lang w:eastAsia="en-US"/>
              </w:rPr>
              <w:t>1 108,0</w:t>
            </w:r>
          </w:p>
        </w:tc>
        <w:tc>
          <w:tcPr>
            <w:tcW w:w="1183" w:type="dxa"/>
          </w:tcPr>
          <w:p w:rsidR="00EE49E0" w:rsidRPr="00C02B90" w:rsidRDefault="00EE49E0" w:rsidP="007C0A3B">
            <w:pPr>
              <w:spacing w:after="0" w:line="240" w:lineRule="exact"/>
              <w:jc w:val="center"/>
              <w:rPr>
                <w:rFonts w:ascii="Times New Roman" w:hAnsi="Times New Roman" w:cs="Times New Roman"/>
                <w:sz w:val="28"/>
                <w:szCs w:val="28"/>
                <w:lang w:eastAsia="en-US"/>
              </w:rPr>
            </w:pPr>
            <w:r w:rsidRPr="00C02B90">
              <w:rPr>
                <w:rFonts w:ascii="Times New Roman" w:hAnsi="Times New Roman" w:cs="Times New Roman"/>
                <w:sz w:val="28"/>
                <w:szCs w:val="28"/>
                <w:lang w:eastAsia="en-US"/>
              </w:rPr>
              <w:t>100,0</w:t>
            </w:r>
          </w:p>
        </w:tc>
      </w:tr>
      <w:tr w:rsidR="00EE49E0" w:rsidRPr="00C02B90">
        <w:trPr>
          <w:trHeight w:val="20"/>
        </w:trPr>
        <w:tc>
          <w:tcPr>
            <w:tcW w:w="2093" w:type="dxa"/>
            <w:vMerge/>
            <w:vAlign w:val="center"/>
          </w:tcPr>
          <w:p w:rsidR="00EE49E0" w:rsidRPr="00C02B90" w:rsidRDefault="00EE49E0" w:rsidP="007C0A3B">
            <w:pPr>
              <w:spacing w:after="0" w:line="240" w:lineRule="exact"/>
              <w:rPr>
                <w:rFonts w:ascii="Times New Roman" w:hAnsi="Times New Roman" w:cs="Times New Roman"/>
                <w:sz w:val="28"/>
                <w:szCs w:val="28"/>
                <w:lang w:eastAsia="en-US"/>
              </w:rPr>
            </w:pPr>
          </w:p>
        </w:tc>
        <w:tc>
          <w:tcPr>
            <w:tcW w:w="3577" w:type="dxa"/>
          </w:tcPr>
          <w:p w:rsidR="00EE49E0" w:rsidRPr="00C02B90" w:rsidRDefault="00EE49E0" w:rsidP="007C0A3B">
            <w:pPr>
              <w:spacing w:after="0" w:line="240" w:lineRule="exact"/>
              <w:jc w:val="both"/>
              <w:rPr>
                <w:rFonts w:ascii="Times New Roman" w:hAnsi="Times New Roman" w:cs="Times New Roman"/>
                <w:sz w:val="28"/>
                <w:szCs w:val="28"/>
                <w:lang w:eastAsia="en-US"/>
              </w:rPr>
            </w:pPr>
            <w:r w:rsidRPr="00C02B90">
              <w:rPr>
                <w:rFonts w:ascii="Times New Roman" w:hAnsi="Times New Roman" w:cs="Times New Roman"/>
                <w:sz w:val="28"/>
                <w:szCs w:val="28"/>
                <w:lang w:eastAsia="en-US"/>
              </w:rPr>
              <w:t>«Творческие люди»</w:t>
            </w:r>
          </w:p>
        </w:tc>
        <w:tc>
          <w:tcPr>
            <w:tcW w:w="1276" w:type="dxa"/>
          </w:tcPr>
          <w:p w:rsidR="00EE49E0" w:rsidRPr="00C02B90" w:rsidRDefault="00EE49E0" w:rsidP="007C0A3B">
            <w:pPr>
              <w:spacing w:after="0" w:line="240" w:lineRule="exact"/>
              <w:jc w:val="center"/>
              <w:rPr>
                <w:rFonts w:ascii="Times New Roman" w:hAnsi="Times New Roman" w:cs="Times New Roman"/>
                <w:sz w:val="28"/>
                <w:szCs w:val="28"/>
                <w:lang w:eastAsia="en-US"/>
              </w:rPr>
            </w:pPr>
            <w:r w:rsidRPr="00C02B90">
              <w:rPr>
                <w:rFonts w:ascii="Times New Roman" w:hAnsi="Times New Roman" w:cs="Times New Roman"/>
                <w:sz w:val="28"/>
                <w:szCs w:val="28"/>
                <w:lang w:eastAsia="en-US"/>
              </w:rPr>
              <w:t>372,1</w:t>
            </w:r>
          </w:p>
        </w:tc>
        <w:tc>
          <w:tcPr>
            <w:tcW w:w="1369" w:type="dxa"/>
          </w:tcPr>
          <w:p w:rsidR="00EE49E0" w:rsidRPr="00C02B90" w:rsidRDefault="00EE49E0" w:rsidP="007C0A3B">
            <w:pPr>
              <w:spacing w:after="0" w:line="240" w:lineRule="exact"/>
              <w:jc w:val="center"/>
              <w:rPr>
                <w:rFonts w:ascii="Times New Roman" w:hAnsi="Times New Roman" w:cs="Times New Roman"/>
                <w:sz w:val="28"/>
                <w:szCs w:val="28"/>
                <w:lang w:eastAsia="en-US"/>
              </w:rPr>
            </w:pPr>
            <w:r w:rsidRPr="00C02B90">
              <w:rPr>
                <w:rFonts w:ascii="Times New Roman" w:hAnsi="Times New Roman" w:cs="Times New Roman"/>
                <w:sz w:val="28"/>
                <w:szCs w:val="28"/>
                <w:lang w:eastAsia="en-US"/>
              </w:rPr>
              <w:t>372,1</w:t>
            </w:r>
          </w:p>
        </w:tc>
        <w:tc>
          <w:tcPr>
            <w:tcW w:w="1183" w:type="dxa"/>
          </w:tcPr>
          <w:p w:rsidR="00EE49E0" w:rsidRPr="00C02B90" w:rsidRDefault="00EE49E0" w:rsidP="007C0A3B">
            <w:pPr>
              <w:spacing w:after="0" w:line="240" w:lineRule="exact"/>
              <w:jc w:val="center"/>
              <w:rPr>
                <w:rFonts w:ascii="Times New Roman" w:hAnsi="Times New Roman" w:cs="Times New Roman"/>
                <w:sz w:val="28"/>
                <w:szCs w:val="28"/>
                <w:lang w:eastAsia="en-US"/>
              </w:rPr>
            </w:pPr>
            <w:r w:rsidRPr="00C02B90">
              <w:rPr>
                <w:rFonts w:ascii="Times New Roman" w:hAnsi="Times New Roman" w:cs="Times New Roman"/>
                <w:sz w:val="28"/>
                <w:szCs w:val="28"/>
                <w:lang w:eastAsia="en-US"/>
              </w:rPr>
              <w:t>100,0</w:t>
            </w:r>
          </w:p>
        </w:tc>
      </w:tr>
      <w:tr w:rsidR="00EE49E0" w:rsidRPr="00C02B90">
        <w:trPr>
          <w:trHeight w:val="20"/>
        </w:trPr>
        <w:tc>
          <w:tcPr>
            <w:tcW w:w="2093" w:type="dxa"/>
            <w:vAlign w:val="center"/>
          </w:tcPr>
          <w:p w:rsidR="00EE49E0" w:rsidRPr="00C02B90" w:rsidRDefault="00EE49E0" w:rsidP="007C0A3B">
            <w:pPr>
              <w:spacing w:after="0" w:line="240" w:lineRule="exact"/>
              <w:rPr>
                <w:rFonts w:ascii="Times New Roman" w:hAnsi="Times New Roman" w:cs="Times New Roman"/>
                <w:sz w:val="28"/>
                <w:szCs w:val="28"/>
                <w:lang w:eastAsia="en-US"/>
              </w:rPr>
            </w:pPr>
            <w:r w:rsidRPr="00C02B90">
              <w:rPr>
                <w:rFonts w:ascii="Times New Roman" w:hAnsi="Times New Roman" w:cs="Times New Roman"/>
                <w:sz w:val="28"/>
                <w:szCs w:val="28"/>
                <w:lang w:eastAsia="en-US"/>
              </w:rPr>
              <w:t>«Жилье и городская среда»</w:t>
            </w:r>
          </w:p>
        </w:tc>
        <w:tc>
          <w:tcPr>
            <w:tcW w:w="3577" w:type="dxa"/>
          </w:tcPr>
          <w:p w:rsidR="00EE49E0" w:rsidRPr="00C02B90" w:rsidRDefault="00EE49E0" w:rsidP="007C0A3B">
            <w:pPr>
              <w:spacing w:after="0" w:line="240" w:lineRule="exact"/>
              <w:jc w:val="both"/>
              <w:rPr>
                <w:rFonts w:ascii="Times New Roman" w:hAnsi="Times New Roman" w:cs="Times New Roman"/>
                <w:sz w:val="28"/>
                <w:szCs w:val="28"/>
                <w:lang w:eastAsia="en-US"/>
              </w:rPr>
            </w:pPr>
            <w:r w:rsidRPr="00C02B90">
              <w:rPr>
                <w:rFonts w:ascii="Times New Roman" w:hAnsi="Times New Roman" w:cs="Times New Roman"/>
                <w:sz w:val="28"/>
                <w:szCs w:val="28"/>
                <w:lang w:eastAsia="en-US"/>
              </w:rPr>
              <w:t>«Формирование комфортной городской среды»</w:t>
            </w:r>
          </w:p>
        </w:tc>
        <w:tc>
          <w:tcPr>
            <w:tcW w:w="1276" w:type="dxa"/>
          </w:tcPr>
          <w:p w:rsidR="00EE49E0" w:rsidRPr="00C02B90" w:rsidRDefault="00EE49E0" w:rsidP="007C0A3B">
            <w:pPr>
              <w:spacing w:after="0" w:line="240" w:lineRule="exact"/>
              <w:jc w:val="center"/>
              <w:rPr>
                <w:rFonts w:ascii="Times New Roman" w:hAnsi="Times New Roman" w:cs="Times New Roman"/>
                <w:sz w:val="28"/>
                <w:szCs w:val="28"/>
                <w:lang w:eastAsia="en-US"/>
              </w:rPr>
            </w:pPr>
            <w:r w:rsidRPr="00C02B90">
              <w:rPr>
                <w:rFonts w:ascii="Times New Roman" w:hAnsi="Times New Roman" w:cs="Times New Roman"/>
                <w:sz w:val="28"/>
                <w:szCs w:val="28"/>
                <w:lang w:eastAsia="en-US"/>
              </w:rPr>
              <w:t>24 395,1</w:t>
            </w:r>
          </w:p>
        </w:tc>
        <w:tc>
          <w:tcPr>
            <w:tcW w:w="1369" w:type="dxa"/>
          </w:tcPr>
          <w:p w:rsidR="00EE49E0" w:rsidRPr="00C02B90" w:rsidRDefault="00EE49E0" w:rsidP="007C0A3B">
            <w:pPr>
              <w:spacing w:after="0" w:line="240" w:lineRule="exact"/>
              <w:jc w:val="center"/>
              <w:rPr>
                <w:rFonts w:ascii="Times New Roman" w:hAnsi="Times New Roman" w:cs="Times New Roman"/>
                <w:sz w:val="28"/>
                <w:szCs w:val="28"/>
                <w:lang w:eastAsia="en-US"/>
              </w:rPr>
            </w:pPr>
            <w:r w:rsidRPr="00C02B90">
              <w:rPr>
                <w:rFonts w:ascii="Times New Roman" w:hAnsi="Times New Roman" w:cs="Times New Roman"/>
                <w:sz w:val="28"/>
                <w:szCs w:val="28"/>
                <w:lang w:eastAsia="en-US"/>
              </w:rPr>
              <w:t>24 395,1</w:t>
            </w:r>
          </w:p>
        </w:tc>
        <w:tc>
          <w:tcPr>
            <w:tcW w:w="1183" w:type="dxa"/>
          </w:tcPr>
          <w:p w:rsidR="00EE49E0" w:rsidRPr="00C02B90" w:rsidRDefault="00EE49E0" w:rsidP="007C0A3B">
            <w:pPr>
              <w:spacing w:after="0" w:line="240" w:lineRule="exact"/>
              <w:jc w:val="center"/>
              <w:rPr>
                <w:rFonts w:ascii="Times New Roman" w:hAnsi="Times New Roman" w:cs="Times New Roman"/>
                <w:sz w:val="28"/>
                <w:szCs w:val="28"/>
                <w:highlight w:val="yellow"/>
                <w:lang w:eastAsia="en-US"/>
              </w:rPr>
            </w:pPr>
            <w:r w:rsidRPr="00C02B90">
              <w:rPr>
                <w:rFonts w:ascii="Times New Roman" w:hAnsi="Times New Roman" w:cs="Times New Roman"/>
                <w:sz w:val="28"/>
                <w:szCs w:val="28"/>
                <w:lang w:eastAsia="en-US"/>
              </w:rPr>
              <w:t>100,0</w:t>
            </w:r>
          </w:p>
        </w:tc>
      </w:tr>
    </w:tbl>
    <w:p w:rsidR="00EE49E0" w:rsidRPr="00C02B90" w:rsidRDefault="00EE49E0" w:rsidP="00C96A29">
      <w:pPr>
        <w:spacing w:after="0" w:line="240" w:lineRule="auto"/>
        <w:ind w:firstLine="709"/>
        <w:jc w:val="both"/>
        <w:rPr>
          <w:rFonts w:ascii="Times New Roman" w:hAnsi="Times New Roman" w:cs="Times New Roman"/>
          <w:sz w:val="28"/>
          <w:szCs w:val="28"/>
        </w:rPr>
      </w:pPr>
    </w:p>
    <w:p w:rsidR="00EE49E0" w:rsidRPr="00C02B90" w:rsidRDefault="00EE49E0" w:rsidP="00C96A29">
      <w:pPr>
        <w:spacing w:after="0" w:line="240" w:lineRule="auto"/>
        <w:ind w:firstLine="709"/>
        <w:jc w:val="both"/>
        <w:rPr>
          <w:rFonts w:ascii="Times New Roman" w:hAnsi="Times New Roman" w:cs="Times New Roman"/>
          <w:sz w:val="28"/>
          <w:szCs w:val="28"/>
        </w:rPr>
      </w:pPr>
      <w:r w:rsidRPr="00C02B90">
        <w:rPr>
          <w:rFonts w:ascii="Times New Roman" w:hAnsi="Times New Roman" w:cs="Times New Roman"/>
          <w:sz w:val="28"/>
          <w:szCs w:val="28"/>
        </w:rPr>
        <w:t>Непрограммная часть занимает 0,9% от общего объема расходов бюджета округа.</w:t>
      </w:r>
    </w:p>
    <w:p w:rsidR="00EE49E0" w:rsidRPr="00C02B90" w:rsidRDefault="00EE49E0" w:rsidP="0040151F">
      <w:pPr>
        <w:spacing w:after="0" w:line="240" w:lineRule="auto"/>
        <w:ind w:firstLine="709"/>
        <w:jc w:val="both"/>
        <w:rPr>
          <w:rFonts w:ascii="Times New Roman" w:hAnsi="Times New Roman" w:cs="Times New Roman"/>
          <w:sz w:val="28"/>
          <w:szCs w:val="28"/>
        </w:rPr>
      </w:pPr>
      <w:r w:rsidRPr="00C02B90">
        <w:rPr>
          <w:rFonts w:ascii="Times New Roman" w:hAnsi="Times New Roman" w:cs="Times New Roman"/>
          <w:sz w:val="28"/>
          <w:szCs w:val="28"/>
        </w:rPr>
        <w:t>По предварительным расчетам в 2025 году доходная часть составит 2686,51 млн. рублей. На долю налоговых и неналоговых доходов будет приходится 35,00% всех поступлений в доходную часть бюджета округа или 940,16 млн. рублей. В структуре налоговых доходов НДФЛ будет занимать 69,63%, а его поступление увеличится до 586,10 млн. рублей.</w:t>
      </w:r>
      <w:r w:rsidRPr="00C02B90">
        <w:rPr>
          <w:rFonts w:ascii="Times New Roman" w:hAnsi="Times New Roman" w:cs="Times New Roman"/>
          <w:color w:val="FF0000"/>
          <w:sz w:val="28"/>
          <w:szCs w:val="28"/>
        </w:rPr>
        <w:t xml:space="preserve"> </w:t>
      </w:r>
      <w:r w:rsidRPr="00C02B90">
        <w:rPr>
          <w:rFonts w:ascii="Times New Roman" w:hAnsi="Times New Roman" w:cs="Times New Roman"/>
          <w:sz w:val="28"/>
          <w:szCs w:val="28"/>
        </w:rPr>
        <w:t>Расходная часть бюджета округа оценивается в 2688,44 млн. рублей, дефицит сократится до 1,93 млн. рублей (по оценке в 2024 году дефицит бюджета округа составляет 137,91 млн. рублей).</w:t>
      </w:r>
    </w:p>
    <w:p w:rsidR="00EE49E0" w:rsidRPr="00C02B90" w:rsidRDefault="00EE49E0" w:rsidP="00C53515">
      <w:pPr>
        <w:pStyle w:val="BodyTextIndent2"/>
        <w:tabs>
          <w:tab w:val="left" w:pos="709"/>
        </w:tabs>
        <w:spacing w:after="0" w:line="240" w:lineRule="exact"/>
        <w:ind w:left="0" w:firstLine="709"/>
        <w:jc w:val="center"/>
        <w:rPr>
          <w:rFonts w:ascii="Times New Roman" w:hAnsi="Times New Roman" w:cs="Times New Roman"/>
          <w:b/>
          <w:bCs/>
          <w:sz w:val="28"/>
          <w:szCs w:val="28"/>
        </w:rPr>
      </w:pPr>
    </w:p>
    <w:p w:rsidR="00EE49E0" w:rsidRPr="00C02B90" w:rsidRDefault="00EE49E0" w:rsidP="00C53515">
      <w:pPr>
        <w:pStyle w:val="BodyTextIndent2"/>
        <w:tabs>
          <w:tab w:val="left" w:pos="709"/>
        </w:tabs>
        <w:spacing w:after="0" w:line="240" w:lineRule="exact"/>
        <w:ind w:left="0"/>
        <w:jc w:val="center"/>
        <w:rPr>
          <w:rFonts w:ascii="Times New Roman" w:hAnsi="Times New Roman" w:cs="Times New Roman"/>
          <w:b/>
          <w:bCs/>
          <w:sz w:val="28"/>
          <w:szCs w:val="28"/>
        </w:rPr>
      </w:pPr>
      <w:r w:rsidRPr="00C02B90">
        <w:rPr>
          <w:rFonts w:ascii="Times New Roman" w:hAnsi="Times New Roman" w:cs="Times New Roman"/>
          <w:b/>
          <w:bCs/>
          <w:sz w:val="28"/>
          <w:szCs w:val="28"/>
        </w:rPr>
        <w:t>Труд и занятость</w:t>
      </w:r>
    </w:p>
    <w:p w:rsidR="00EE49E0" w:rsidRPr="00C02B90" w:rsidRDefault="00EE49E0" w:rsidP="00F57945">
      <w:pPr>
        <w:widowControl w:val="0"/>
        <w:spacing w:after="0" w:line="240" w:lineRule="auto"/>
        <w:ind w:firstLine="709"/>
        <w:jc w:val="both"/>
        <w:rPr>
          <w:rFonts w:ascii="Times New Roman" w:hAnsi="Times New Roman" w:cs="Times New Roman"/>
          <w:sz w:val="28"/>
          <w:szCs w:val="28"/>
        </w:rPr>
      </w:pPr>
      <w:r w:rsidRPr="00C02B90">
        <w:rPr>
          <w:rFonts w:ascii="Times New Roman" w:hAnsi="Times New Roman" w:cs="Times New Roman"/>
          <w:sz w:val="28"/>
          <w:szCs w:val="28"/>
        </w:rPr>
        <w:t>Среднесписочная численность работников организаций, не относящихся к субъектам малого предпринимательства (без внешних совместителей) за январь – август 2024 года существенно не изменится - 9,84 тыс. человек (98,40% к аналогичному периоду 2023 года), а среднемесячная заработная плата работников списочного состава организаций (без внешних совместителей) за увеличилась до 46498,90 рубля (116,40% к аналогичному периоду 2023 года).</w:t>
      </w:r>
    </w:p>
    <w:p w:rsidR="00EE49E0" w:rsidRPr="00C02B90" w:rsidRDefault="00EE49E0" w:rsidP="0040151F">
      <w:pPr>
        <w:widowControl w:val="0"/>
        <w:spacing w:after="0" w:line="240" w:lineRule="auto"/>
        <w:ind w:firstLine="709"/>
        <w:jc w:val="both"/>
        <w:rPr>
          <w:rFonts w:ascii="Times New Roman" w:hAnsi="Times New Roman" w:cs="Times New Roman"/>
          <w:sz w:val="28"/>
          <w:szCs w:val="28"/>
        </w:rPr>
      </w:pPr>
      <w:r w:rsidRPr="00C02B90">
        <w:rPr>
          <w:rFonts w:ascii="Times New Roman" w:hAnsi="Times New Roman" w:cs="Times New Roman"/>
          <w:sz w:val="28"/>
          <w:szCs w:val="28"/>
        </w:rPr>
        <w:t xml:space="preserve">Ожидается, что по итогам 2024 года общее число работников организаций, не относящихся к субъектам малого предпринимательства, составит 10,13 тыс. человек, фонд заработной платы работников увеличится до 5920,96 млн. рублей, а их среднемесячная номинальная начисленная заработная плата вырастет в сравнении с 2023 годом на 119,46 % и достигнет 48708,15 рубля.  </w:t>
      </w:r>
    </w:p>
    <w:p w:rsidR="00EE49E0" w:rsidRPr="00C02B90" w:rsidRDefault="00EE49E0" w:rsidP="00793849">
      <w:pPr>
        <w:widowControl w:val="0"/>
        <w:tabs>
          <w:tab w:val="left" w:pos="0"/>
        </w:tabs>
        <w:spacing w:after="0" w:line="240" w:lineRule="auto"/>
        <w:ind w:firstLine="709"/>
        <w:jc w:val="both"/>
        <w:rPr>
          <w:rFonts w:ascii="Times New Roman" w:hAnsi="Times New Roman" w:cs="Times New Roman"/>
          <w:sz w:val="28"/>
          <w:szCs w:val="28"/>
        </w:rPr>
      </w:pPr>
      <w:r w:rsidRPr="00C02B90">
        <w:rPr>
          <w:rFonts w:ascii="Times New Roman" w:hAnsi="Times New Roman" w:cs="Times New Roman"/>
          <w:sz w:val="28"/>
          <w:szCs w:val="28"/>
        </w:rPr>
        <w:t>Положительная динамика среднемесячной заработной платы сохранится и в прогнозном периоде. В 2025 году в сравнении с 2024 годом в базовом варианте прогноза темп роста показателя составит 114,80%, увеличение фонда заработной платы работников организаций ожидается на уровне 116,16%.</w:t>
      </w:r>
    </w:p>
    <w:p w:rsidR="00EE49E0" w:rsidRPr="00C02B90" w:rsidRDefault="00EE49E0" w:rsidP="0040151F">
      <w:pPr>
        <w:widowControl w:val="0"/>
        <w:spacing w:after="0" w:line="240" w:lineRule="auto"/>
        <w:ind w:firstLine="709"/>
        <w:jc w:val="both"/>
        <w:rPr>
          <w:rFonts w:ascii="Times New Roman" w:hAnsi="Times New Roman" w:cs="Times New Roman"/>
          <w:sz w:val="28"/>
          <w:szCs w:val="28"/>
          <w:shd w:val="clear" w:color="auto" w:fill="FFFFFF"/>
        </w:rPr>
      </w:pPr>
      <w:r w:rsidRPr="00C02B90">
        <w:rPr>
          <w:rFonts w:ascii="Times New Roman" w:hAnsi="Times New Roman" w:cs="Times New Roman"/>
          <w:sz w:val="28"/>
          <w:szCs w:val="28"/>
        </w:rPr>
        <w:t>По данным Территориального центра занятости Апанасенковского, Ипатовского, Петровского и Туркменского муниципальных округов уровень регистрируемой безработицы по состоянию на 01 октября 2024 года составлял 0,7% (на 29 сентября 2023 года - 1,0%). Численность официально зарегистрированных безработных - 250 человек, потребность в работниках, заявленная работодателями в органы службы занятости населения, 781 человек (по состоянию на 29 сентября 2023 года 346 человек и 763 человека соответственно). В среднесрочной перспективе существенных изменений показателей, характеризующих ситуацию на рынке труда, не ожидается, уровень безработицы не будет превышать 1,1%.</w:t>
      </w:r>
    </w:p>
    <w:p w:rsidR="00EE49E0" w:rsidRPr="00C02B90" w:rsidRDefault="00EE49E0" w:rsidP="0040151F">
      <w:pPr>
        <w:widowControl w:val="0"/>
        <w:spacing w:after="0" w:line="240" w:lineRule="auto"/>
        <w:ind w:firstLine="709"/>
        <w:jc w:val="both"/>
        <w:rPr>
          <w:rFonts w:ascii="Times New Roman" w:hAnsi="Times New Roman" w:cs="Times New Roman"/>
          <w:sz w:val="28"/>
          <w:szCs w:val="28"/>
          <w:shd w:val="clear" w:color="auto" w:fill="FFFFFF"/>
        </w:rPr>
      </w:pPr>
      <w:r w:rsidRPr="00C02B90">
        <w:rPr>
          <w:rFonts w:ascii="Times New Roman" w:hAnsi="Times New Roman" w:cs="Times New Roman"/>
          <w:sz w:val="28"/>
          <w:szCs w:val="28"/>
          <w:shd w:val="clear" w:color="auto" w:fill="FFFFFF"/>
        </w:rPr>
        <w:t xml:space="preserve">По оценке, численность занятых в экономике к концу 2024 года составит 18,72 тыс. человек. На протяжении 2025 – 2027 годов с учетом общей демографической ситуации, сложившейся в округе существенного увеличения численности трудовых ресурсов и числа занятых, не прогнозируется. </w:t>
      </w:r>
    </w:p>
    <w:p w:rsidR="00EE49E0" w:rsidRPr="00C02B90" w:rsidRDefault="00EE49E0" w:rsidP="00C53515">
      <w:pPr>
        <w:spacing w:after="0" w:line="240" w:lineRule="exact"/>
        <w:ind w:firstLine="709"/>
        <w:jc w:val="both"/>
        <w:rPr>
          <w:rFonts w:ascii="Times New Roman" w:hAnsi="Times New Roman" w:cs="Times New Roman"/>
          <w:sz w:val="28"/>
          <w:szCs w:val="28"/>
        </w:rPr>
      </w:pPr>
    </w:p>
    <w:p w:rsidR="00EE49E0" w:rsidRPr="00C02B90" w:rsidRDefault="00EE49E0" w:rsidP="00C53515">
      <w:pPr>
        <w:spacing w:after="0" w:line="240" w:lineRule="exact"/>
        <w:jc w:val="center"/>
        <w:rPr>
          <w:rFonts w:ascii="Times New Roman" w:hAnsi="Times New Roman" w:cs="Times New Roman"/>
          <w:b/>
          <w:bCs/>
          <w:sz w:val="28"/>
          <w:szCs w:val="28"/>
        </w:rPr>
      </w:pPr>
      <w:r w:rsidRPr="00C02B90">
        <w:rPr>
          <w:rFonts w:ascii="Times New Roman" w:hAnsi="Times New Roman" w:cs="Times New Roman"/>
          <w:b/>
          <w:bCs/>
          <w:sz w:val="28"/>
          <w:szCs w:val="28"/>
        </w:rPr>
        <w:t>Финансы организаций</w:t>
      </w:r>
    </w:p>
    <w:p w:rsidR="00EE49E0" w:rsidRPr="00C02B90" w:rsidRDefault="00EE49E0" w:rsidP="0040151F">
      <w:pPr>
        <w:tabs>
          <w:tab w:val="left" w:pos="735"/>
        </w:tabs>
        <w:spacing w:after="0" w:line="240" w:lineRule="auto"/>
        <w:ind w:firstLine="709"/>
        <w:jc w:val="both"/>
        <w:rPr>
          <w:rFonts w:ascii="Times New Roman" w:hAnsi="Times New Roman" w:cs="Times New Roman"/>
          <w:sz w:val="28"/>
          <w:szCs w:val="28"/>
        </w:rPr>
      </w:pPr>
      <w:r w:rsidRPr="00C02B90">
        <w:rPr>
          <w:rFonts w:ascii="Times New Roman" w:hAnsi="Times New Roman" w:cs="Times New Roman"/>
          <w:sz w:val="28"/>
          <w:szCs w:val="28"/>
        </w:rPr>
        <w:t>Сальдированный финансовый результат деятельности организаций без субъектов МСП, банков, страховых организаций и бюджетных учреждений за январь – июль отчетного года сложился положительным и составил 425,10 млн. рублей. Прибыль в размере 987,3 млн. рублей получили 56,30% организаций округа. Ожидается, что в 2024 году темп роста прибыли прибыльных организаций для целей бухгалтерского учета составит 105,50% к 2023 году, а в 2025 году увеличится до 108,00% (в базовом варианте). Росту показателя будет способствовать выход российской сельскохозяйственной продукции на новые рынки сбыта, а также активная экспортная деятельность промышленных предприятий округа.</w:t>
      </w:r>
    </w:p>
    <w:p w:rsidR="00EE49E0" w:rsidRPr="00C02B90" w:rsidRDefault="00EE49E0" w:rsidP="00C53515">
      <w:pPr>
        <w:spacing w:after="0" w:line="240" w:lineRule="exact"/>
        <w:ind w:firstLine="709"/>
        <w:jc w:val="both"/>
        <w:rPr>
          <w:rFonts w:ascii="Times New Roman" w:hAnsi="Times New Roman" w:cs="Times New Roman"/>
          <w:sz w:val="28"/>
          <w:szCs w:val="28"/>
        </w:rPr>
      </w:pPr>
    </w:p>
    <w:p w:rsidR="00EE49E0" w:rsidRPr="00C02B90" w:rsidRDefault="00EE49E0" w:rsidP="00C53515">
      <w:pPr>
        <w:spacing w:after="0" w:line="240" w:lineRule="exact"/>
        <w:jc w:val="center"/>
        <w:rPr>
          <w:rFonts w:ascii="Times New Roman" w:hAnsi="Times New Roman" w:cs="Times New Roman"/>
          <w:b/>
          <w:bCs/>
          <w:sz w:val="28"/>
          <w:szCs w:val="28"/>
        </w:rPr>
      </w:pPr>
      <w:r w:rsidRPr="00C02B90">
        <w:rPr>
          <w:rFonts w:ascii="Times New Roman" w:hAnsi="Times New Roman" w:cs="Times New Roman"/>
          <w:b/>
          <w:bCs/>
          <w:sz w:val="28"/>
          <w:szCs w:val="28"/>
        </w:rPr>
        <w:t>Развитие социальной сферы</w:t>
      </w:r>
    </w:p>
    <w:p w:rsidR="00EE49E0" w:rsidRPr="00C02B90" w:rsidRDefault="00EE49E0" w:rsidP="003C0E09">
      <w:pPr>
        <w:spacing w:after="0" w:line="240" w:lineRule="auto"/>
        <w:ind w:firstLine="709"/>
        <w:jc w:val="both"/>
        <w:rPr>
          <w:rFonts w:ascii="Times New Roman" w:hAnsi="Times New Roman" w:cs="Times New Roman"/>
          <w:sz w:val="28"/>
          <w:szCs w:val="28"/>
        </w:rPr>
      </w:pPr>
      <w:r w:rsidRPr="00C02B90">
        <w:rPr>
          <w:rFonts w:ascii="Times New Roman" w:hAnsi="Times New Roman" w:cs="Times New Roman"/>
          <w:sz w:val="28"/>
          <w:szCs w:val="28"/>
        </w:rPr>
        <w:t xml:space="preserve">По состоянию на 1 января 2024 года в округе проживало 3448 детей в возрасте 1 - 6 лет. При наличии в детских садах 2957 мест обеспеченность дошкольными образовательными учреждениями составляет 857 мест в расчете на 1000 детей в возрасте 1 - 6 лет. В округе отсутствует проблема доступности дошкольного образования, по состоянию на 01 октября 2024 года детские сады посещают 2297 детей, а на учете для определения в дошкольные образовательные учреждения состоит 42 ребенка в возрасте от 0 до 1,5 лет. </w:t>
      </w:r>
    </w:p>
    <w:p w:rsidR="00EE49E0" w:rsidRPr="00C02B90" w:rsidRDefault="00EE49E0" w:rsidP="0040151F">
      <w:pPr>
        <w:pStyle w:val="1"/>
        <w:spacing w:after="0" w:line="240" w:lineRule="auto"/>
        <w:ind w:firstLine="709"/>
        <w:rPr>
          <w:rFonts w:ascii="Times New Roman" w:hAnsi="Times New Roman" w:cs="Times New Roman"/>
        </w:rPr>
      </w:pPr>
      <w:r w:rsidRPr="00C02B90">
        <w:rPr>
          <w:rFonts w:ascii="Times New Roman" w:hAnsi="Times New Roman" w:cs="Times New Roman"/>
        </w:rPr>
        <w:t xml:space="preserve">Для оказания круглосуточной стационарной помощи в ГБУЗ СК «Петровская районная больница» развернуто </w:t>
      </w:r>
      <w:r w:rsidRPr="00C02B90">
        <w:rPr>
          <w:rFonts w:ascii="Times New Roman" w:eastAsia="MS Mincho" w:hAnsi="Times New Roman" w:cs="Times New Roman"/>
        </w:rPr>
        <w:t>376</w:t>
      </w:r>
      <w:r w:rsidRPr="00C02B90">
        <w:rPr>
          <w:rFonts w:ascii="Times New Roman" w:hAnsi="Times New Roman" w:cs="Times New Roman"/>
        </w:rPr>
        <w:t xml:space="preserve"> коек и 110 коек дневного стационара, что по оценке составляет 71,55 коек в расчете на 10,0 тыс. человек. </w:t>
      </w:r>
    </w:p>
    <w:p w:rsidR="00EE49E0" w:rsidRPr="00C02B90" w:rsidRDefault="00EE49E0" w:rsidP="0040151F">
      <w:pPr>
        <w:spacing w:after="0" w:line="240" w:lineRule="auto"/>
        <w:ind w:firstLine="709"/>
        <w:jc w:val="both"/>
        <w:rPr>
          <w:rFonts w:ascii="Times New Roman" w:hAnsi="Times New Roman" w:cs="Times New Roman"/>
          <w:sz w:val="28"/>
          <w:szCs w:val="28"/>
        </w:rPr>
      </w:pPr>
      <w:r w:rsidRPr="00C02B90">
        <w:rPr>
          <w:rFonts w:ascii="Times New Roman" w:hAnsi="Times New Roman" w:cs="Times New Roman"/>
          <w:sz w:val="28"/>
          <w:szCs w:val="28"/>
        </w:rPr>
        <w:t xml:space="preserve">Сеть муниципальных учреждений культуры включает 24 клубных учреждения, 22 библиотеки, 2 музея, детские художественную и музыкальную школы, что соответствует нормативной потребности. </w:t>
      </w:r>
    </w:p>
    <w:p w:rsidR="00EE49E0" w:rsidRPr="00C02B90" w:rsidRDefault="00EE49E0" w:rsidP="0040151F">
      <w:pPr>
        <w:spacing w:after="0" w:line="240" w:lineRule="auto"/>
        <w:ind w:firstLine="709"/>
        <w:jc w:val="both"/>
        <w:rPr>
          <w:rFonts w:ascii="Times New Roman" w:hAnsi="Times New Roman" w:cs="Times New Roman"/>
          <w:sz w:val="28"/>
          <w:szCs w:val="28"/>
        </w:rPr>
      </w:pPr>
      <w:r w:rsidRPr="00C02B90">
        <w:rPr>
          <w:rFonts w:ascii="Times New Roman" w:hAnsi="Times New Roman" w:cs="Times New Roman"/>
          <w:sz w:val="28"/>
          <w:szCs w:val="28"/>
        </w:rPr>
        <w:t>В связи с сохраняющейся негативной динамикой демографических показателей в прогнозируемом периоде будет отмечаться увеличение расчетных значений показателей, характеризующих обеспеченность населения социальными учреждениями.</w:t>
      </w:r>
    </w:p>
    <w:sectPr w:rsidR="00EE49E0" w:rsidRPr="00C02B90" w:rsidSect="003531F3">
      <w:pgSz w:w="11906" w:h="16838"/>
      <w:pgMar w:top="1418" w:right="62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CYR">
    <w:altName w:val="Courier New"/>
    <w:panose1 w:val="02070309020205020404"/>
    <w:charset w:val="CC"/>
    <w:family w:val="modern"/>
    <w:pitch w:val="fixed"/>
    <w:sig w:usb0="E0002AFF" w:usb1="C0007843" w:usb2="00000009" w:usb3="00000000" w:csb0="000001FF" w:csb1="00000000"/>
  </w:font>
  <w:font w:name="MS Mincho">
    <w:altName w:val="?l?r ??Ѓfc"/>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4897"/>
    <w:rsid w:val="00002878"/>
    <w:rsid w:val="000060E5"/>
    <w:rsid w:val="000110A9"/>
    <w:rsid w:val="00011927"/>
    <w:rsid w:val="000139B4"/>
    <w:rsid w:val="00024CA3"/>
    <w:rsid w:val="000252A2"/>
    <w:rsid w:val="00035AA1"/>
    <w:rsid w:val="0005409E"/>
    <w:rsid w:val="000571DD"/>
    <w:rsid w:val="0006017A"/>
    <w:rsid w:val="00060FC0"/>
    <w:rsid w:val="0006199D"/>
    <w:rsid w:val="00067132"/>
    <w:rsid w:val="0007171E"/>
    <w:rsid w:val="0007178E"/>
    <w:rsid w:val="00083887"/>
    <w:rsid w:val="000911C6"/>
    <w:rsid w:val="00092D15"/>
    <w:rsid w:val="000A230C"/>
    <w:rsid w:val="000A3003"/>
    <w:rsid w:val="000C1A9A"/>
    <w:rsid w:val="000C230E"/>
    <w:rsid w:val="000C78CB"/>
    <w:rsid w:val="000D4DE9"/>
    <w:rsid w:val="000D58A7"/>
    <w:rsid w:val="000D7DB7"/>
    <w:rsid w:val="000E06D8"/>
    <w:rsid w:val="000E11CB"/>
    <w:rsid w:val="000E2004"/>
    <w:rsid w:val="000F0287"/>
    <w:rsid w:val="000F21A6"/>
    <w:rsid w:val="000F37CA"/>
    <w:rsid w:val="000F58D6"/>
    <w:rsid w:val="00113A97"/>
    <w:rsid w:val="001171CF"/>
    <w:rsid w:val="001246E9"/>
    <w:rsid w:val="00124A34"/>
    <w:rsid w:val="001313AA"/>
    <w:rsid w:val="00133A32"/>
    <w:rsid w:val="00137A62"/>
    <w:rsid w:val="00151D6F"/>
    <w:rsid w:val="00152B70"/>
    <w:rsid w:val="00152F22"/>
    <w:rsid w:val="00162A33"/>
    <w:rsid w:val="001676F2"/>
    <w:rsid w:val="00170D25"/>
    <w:rsid w:val="001746B4"/>
    <w:rsid w:val="00176A66"/>
    <w:rsid w:val="00186AB8"/>
    <w:rsid w:val="0019391B"/>
    <w:rsid w:val="001A0D2F"/>
    <w:rsid w:val="001A28DF"/>
    <w:rsid w:val="001A4BDB"/>
    <w:rsid w:val="001A6197"/>
    <w:rsid w:val="001A6F19"/>
    <w:rsid w:val="001B4D4D"/>
    <w:rsid w:val="001B6333"/>
    <w:rsid w:val="001B7055"/>
    <w:rsid w:val="001C046C"/>
    <w:rsid w:val="001C28A3"/>
    <w:rsid w:val="001C3965"/>
    <w:rsid w:val="001C3D5B"/>
    <w:rsid w:val="001D0D9E"/>
    <w:rsid w:val="001D4C1F"/>
    <w:rsid w:val="001F1122"/>
    <w:rsid w:val="00203141"/>
    <w:rsid w:val="00204F7F"/>
    <w:rsid w:val="002056FA"/>
    <w:rsid w:val="00206B0C"/>
    <w:rsid w:val="00215191"/>
    <w:rsid w:val="002152A7"/>
    <w:rsid w:val="002175D6"/>
    <w:rsid w:val="00222ECA"/>
    <w:rsid w:val="002234E5"/>
    <w:rsid w:val="002268FF"/>
    <w:rsid w:val="002452A0"/>
    <w:rsid w:val="0025355A"/>
    <w:rsid w:val="002555A9"/>
    <w:rsid w:val="00256C01"/>
    <w:rsid w:val="00257851"/>
    <w:rsid w:val="002709F7"/>
    <w:rsid w:val="00272AFE"/>
    <w:rsid w:val="002739F8"/>
    <w:rsid w:val="00276572"/>
    <w:rsid w:val="0028180C"/>
    <w:rsid w:val="00281A86"/>
    <w:rsid w:val="002826E6"/>
    <w:rsid w:val="00287E5E"/>
    <w:rsid w:val="002941F2"/>
    <w:rsid w:val="00294731"/>
    <w:rsid w:val="002A1FC9"/>
    <w:rsid w:val="002A5EB4"/>
    <w:rsid w:val="002C6211"/>
    <w:rsid w:val="002D0D6C"/>
    <w:rsid w:val="002D134E"/>
    <w:rsid w:val="002D4363"/>
    <w:rsid w:val="002D60D7"/>
    <w:rsid w:val="002E251E"/>
    <w:rsid w:val="002E2C89"/>
    <w:rsid w:val="002E3BDE"/>
    <w:rsid w:val="002F4289"/>
    <w:rsid w:val="0030049C"/>
    <w:rsid w:val="00320D49"/>
    <w:rsid w:val="00322FE0"/>
    <w:rsid w:val="0032466F"/>
    <w:rsid w:val="0032786A"/>
    <w:rsid w:val="00327BF7"/>
    <w:rsid w:val="00330A72"/>
    <w:rsid w:val="003431DD"/>
    <w:rsid w:val="00344295"/>
    <w:rsid w:val="00352D0D"/>
    <w:rsid w:val="003531F3"/>
    <w:rsid w:val="0035449B"/>
    <w:rsid w:val="00357792"/>
    <w:rsid w:val="003777FE"/>
    <w:rsid w:val="00382498"/>
    <w:rsid w:val="00382B85"/>
    <w:rsid w:val="0039054D"/>
    <w:rsid w:val="0039076E"/>
    <w:rsid w:val="0039268D"/>
    <w:rsid w:val="003A7925"/>
    <w:rsid w:val="003A7C33"/>
    <w:rsid w:val="003B0699"/>
    <w:rsid w:val="003B6941"/>
    <w:rsid w:val="003C0E09"/>
    <w:rsid w:val="003C67B9"/>
    <w:rsid w:val="003C73F8"/>
    <w:rsid w:val="003C7A15"/>
    <w:rsid w:val="003E045C"/>
    <w:rsid w:val="003F63B0"/>
    <w:rsid w:val="0040151F"/>
    <w:rsid w:val="00404338"/>
    <w:rsid w:val="00405A89"/>
    <w:rsid w:val="004064FB"/>
    <w:rsid w:val="00413E3B"/>
    <w:rsid w:val="004219D2"/>
    <w:rsid w:val="004237C4"/>
    <w:rsid w:val="00424925"/>
    <w:rsid w:val="00424C81"/>
    <w:rsid w:val="00427F9E"/>
    <w:rsid w:val="00431D63"/>
    <w:rsid w:val="00442794"/>
    <w:rsid w:val="00443752"/>
    <w:rsid w:val="00445E95"/>
    <w:rsid w:val="00456385"/>
    <w:rsid w:val="004569F6"/>
    <w:rsid w:val="00461D9A"/>
    <w:rsid w:val="004714A6"/>
    <w:rsid w:val="00473FC0"/>
    <w:rsid w:val="00477D60"/>
    <w:rsid w:val="004825C4"/>
    <w:rsid w:val="004919F6"/>
    <w:rsid w:val="004A11AE"/>
    <w:rsid w:val="004A1F36"/>
    <w:rsid w:val="004A24B6"/>
    <w:rsid w:val="004A33F7"/>
    <w:rsid w:val="004A79CD"/>
    <w:rsid w:val="004B7928"/>
    <w:rsid w:val="004C2ED0"/>
    <w:rsid w:val="004C389D"/>
    <w:rsid w:val="004D04DB"/>
    <w:rsid w:val="004D0C6A"/>
    <w:rsid w:val="004D5DC3"/>
    <w:rsid w:val="004D6875"/>
    <w:rsid w:val="004E3A29"/>
    <w:rsid w:val="00500B97"/>
    <w:rsid w:val="00502E8E"/>
    <w:rsid w:val="005208C8"/>
    <w:rsid w:val="00522599"/>
    <w:rsid w:val="00524D3A"/>
    <w:rsid w:val="005263F3"/>
    <w:rsid w:val="00533C6F"/>
    <w:rsid w:val="005364B2"/>
    <w:rsid w:val="005402A8"/>
    <w:rsid w:val="00542F63"/>
    <w:rsid w:val="00544635"/>
    <w:rsid w:val="0054746F"/>
    <w:rsid w:val="00550A43"/>
    <w:rsid w:val="00552565"/>
    <w:rsid w:val="005530A2"/>
    <w:rsid w:val="00556E68"/>
    <w:rsid w:val="00560487"/>
    <w:rsid w:val="005631CE"/>
    <w:rsid w:val="0057094A"/>
    <w:rsid w:val="00572AFE"/>
    <w:rsid w:val="00576B5E"/>
    <w:rsid w:val="005775EA"/>
    <w:rsid w:val="005836BA"/>
    <w:rsid w:val="005863CD"/>
    <w:rsid w:val="0058783E"/>
    <w:rsid w:val="005949B4"/>
    <w:rsid w:val="005A4C03"/>
    <w:rsid w:val="005B0C33"/>
    <w:rsid w:val="005B174D"/>
    <w:rsid w:val="005B55E3"/>
    <w:rsid w:val="005B7EFD"/>
    <w:rsid w:val="005C3BA3"/>
    <w:rsid w:val="005C3BE8"/>
    <w:rsid w:val="005D2FFD"/>
    <w:rsid w:val="005D4E4E"/>
    <w:rsid w:val="005D774D"/>
    <w:rsid w:val="005E0192"/>
    <w:rsid w:val="005E501D"/>
    <w:rsid w:val="005E74E0"/>
    <w:rsid w:val="005F5A8C"/>
    <w:rsid w:val="00604CE3"/>
    <w:rsid w:val="0060790E"/>
    <w:rsid w:val="0061723E"/>
    <w:rsid w:val="00617631"/>
    <w:rsid w:val="0062207D"/>
    <w:rsid w:val="00624204"/>
    <w:rsid w:val="00630184"/>
    <w:rsid w:val="0063120D"/>
    <w:rsid w:val="00642CDC"/>
    <w:rsid w:val="006444D8"/>
    <w:rsid w:val="00652B0A"/>
    <w:rsid w:val="00654E11"/>
    <w:rsid w:val="00660B11"/>
    <w:rsid w:val="00664674"/>
    <w:rsid w:val="00666969"/>
    <w:rsid w:val="00673370"/>
    <w:rsid w:val="00673778"/>
    <w:rsid w:val="006773C3"/>
    <w:rsid w:val="00682DB7"/>
    <w:rsid w:val="00687199"/>
    <w:rsid w:val="006914C5"/>
    <w:rsid w:val="00692098"/>
    <w:rsid w:val="006932E8"/>
    <w:rsid w:val="006946BB"/>
    <w:rsid w:val="006964E1"/>
    <w:rsid w:val="0069667F"/>
    <w:rsid w:val="006A0616"/>
    <w:rsid w:val="006B0750"/>
    <w:rsid w:val="006C0572"/>
    <w:rsid w:val="006C05CC"/>
    <w:rsid w:val="006C33C2"/>
    <w:rsid w:val="006C4413"/>
    <w:rsid w:val="006C71BD"/>
    <w:rsid w:val="006D044E"/>
    <w:rsid w:val="006D42E8"/>
    <w:rsid w:val="006D7F3B"/>
    <w:rsid w:val="006E26C5"/>
    <w:rsid w:val="006F0726"/>
    <w:rsid w:val="00701AC2"/>
    <w:rsid w:val="007021BB"/>
    <w:rsid w:val="00702451"/>
    <w:rsid w:val="00703103"/>
    <w:rsid w:val="00705D4B"/>
    <w:rsid w:val="00710B4D"/>
    <w:rsid w:val="00713D2C"/>
    <w:rsid w:val="007175F4"/>
    <w:rsid w:val="00721481"/>
    <w:rsid w:val="007233CD"/>
    <w:rsid w:val="00725A65"/>
    <w:rsid w:val="00727E3D"/>
    <w:rsid w:val="00731608"/>
    <w:rsid w:val="00742896"/>
    <w:rsid w:val="00746483"/>
    <w:rsid w:val="00747C81"/>
    <w:rsid w:val="007528D5"/>
    <w:rsid w:val="007566C0"/>
    <w:rsid w:val="00756E2F"/>
    <w:rsid w:val="00765E30"/>
    <w:rsid w:val="00765EA0"/>
    <w:rsid w:val="0076689C"/>
    <w:rsid w:val="007678CF"/>
    <w:rsid w:val="00767A0B"/>
    <w:rsid w:val="00771C90"/>
    <w:rsid w:val="0077409F"/>
    <w:rsid w:val="0077466A"/>
    <w:rsid w:val="0077534E"/>
    <w:rsid w:val="007769E1"/>
    <w:rsid w:val="00782453"/>
    <w:rsid w:val="0078303E"/>
    <w:rsid w:val="007858A8"/>
    <w:rsid w:val="007931DA"/>
    <w:rsid w:val="00793849"/>
    <w:rsid w:val="007949E8"/>
    <w:rsid w:val="007956CA"/>
    <w:rsid w:val="007A1D2A"/>
    <w:rsid w:val="007A2C04"/>
    <w:rsid w:val="007A76BC"/>
    <w:rsid w:val="007B2240"/>
    <w:rsid w:val="007B30EE"/>
    <w:rsid w:val="007B6FD0"/>
    <w:rsid w:val="007B70CB"/>
    <w:rsid w:val="007B7F3D"/>
    <w:rsid w:val="007C01F6"/>
    <w:rsid w:val="007C0A3B"/>
    <w:rsid w:val="007C36D3"/>
    <w:rsid w:val="007D0018"/>
    <w:rsid w:val="007D3ED8"/>
    <w:rsid w:val="00811FA0"/>
    <w:rsid w:val="0081319D"/>
    <w:rsid w:val="00824828"/>
    <w:rsid w:val="008278DA"/>
    <w:rsid w:val="008310DC"/>
    <w:rsid w:val="00837E88"/>
    <w:rsid w:val="00843854"/>
    <w:rsid w:val="00845748"/>
    <w:rsid w:val="008463CF"/>
    <w:rsid w:val="008506F9"/>
    <w:rsid w:val="00851BDA"/>
    <w:rsid w:val="00852FA4"/>
    <w:rsid w:val="00864ED3"/>
    <w:rsid w:val="00873E96"/>
    <w:rsid w:val="008750FF"/>
    <w:rsid w:val="00881B77"/>
    <w:rsid w:val="008820D2"/>
    <w:rsid w:val="008843C5"/>
    <w:rsid w:val="008845E6"/>
    <w:rsid w:val="008861D7"/>
    <w:rsid w:val="00890DF6"/>
    <w:rsid w:val="008939DA"/>
    <w:rsid w:val="008979EE"/>
    <w:rsid w:val="008A0887"/>
    <w:rsid w:val="008A0E2A"/>
    <w:rsid w:val="008A5967"/>
    <w:rsid w:val="008B024C"/>
    <w:rsid w:val="008B6214"/>
    <w:rsid w:val="008C556D"/>
    <w:rsid w:val="008E0049"/>
    <w:rsid w:val="008E50C2"/>
    <w:rsid w:val="008F1BA7"/>
    <w:rsid w:val="008F5FC6"/>
    <w:rsid w:val="00906655"/>
    <w:rsid w:val="00906DE3"/>
    <w:rsid w:val="00910588"/>
    <w:rsid w:val="0091299E"/>
    <w:rsid w:val="00924A8C"/>
    <w:rsid w:val="00931F6F"/>
    <w:rsid w:val="00932142"/>
    <w:rsid w:val="0093710B"/>
    <w:rsid w:val="0093785D"/>
    <w:rsid w:val="00942D8A"/>
    <w:rsid w:val="00943CF2"/>
    <w:rsid w:val="0095278A"/>
    <w:rsid w:val="00952ED9"/>
    <w:rsid w:val="0096555F"/>
    <w:rsid w:val="00966531"/>
    <w:rsid w:val="00977FC2"/>
    <w:rsid w:val="00983BAA"/>
    <w:rsid w:val="0098624D"/>
    <w:rsid w:val="00987B93"/>
    <w:rsid w:val="0099765B"/>
    <w:rsid w:val="009B1CCB"/>
    <w:rsid w:val="009B2B9D"/>
    <w:rsid w:val="009C7893"/>
    <w:rsid w:val="009D2F9B"/>
    <w:rsid w:val="009D7C83"/>
    <w:rsid w:val="009E2174"/>
    <w:rsid w:val="009E6104"/>
    <w:rsid w:val="009E7222"/>
    <w:rsid w:val="009F0092"/>
    <w:rsid w:val="009F5533"/>
    <w:rsid w:val="00A03BAB"/>
    <w:rsid w:val="00A055CE"/>
    <w:rsid w:val="00A0743B"/>
    <w:rsid w:val="00A21696"/>
    <w:rsid w:val="00A21FFF"/>
    <w:rsid w:val="00A24FC3"/>
    <w:rsid w:val="00A3097B"/>
    <w:rsid w:val="00A30FF9"/>
    <w:rsid w:val="00A3140F"/>
    <w:rsid w:val="00A368E4"/>
    <w:rsid w:val="00A369E2"/>
    <w:rsid w:val="00A4617B"/>
    <w:rsid w:val="00A51D06"/>
    <w:rsid w:val="00A528BC"/>
    <w:rsid w:val="00A62999"/>
    <w:rsid w:val="00A63250"/>
    <w:rsid w:val="00A63DFE"/>
    <w:rsid w:val="00A6441E"/>
    <w:rsid w:val="00A7006B"/>
    <w:rsid w:val="00A75ED8"/>
    <w:rsid w:val="00A8283C"/>
    <w:rsid w:val="00A83576"/>
    <w:rsid w:val="00A85DAE"/>
    <w:rsid w:val="00A87652"/>
    <w:rsid w:val="00A926D8"/>
    <w:rsid w:val="00AA0C75"/>
    <w:rsid w:val="00AB18D7"/>
    <w:rsid w:val="00AB1F25"/>
    <w:rsid w:val="00AB2A5A"/>
    <w:rsid w:val="00AB4F6E"/>
    <w:rsid w:val="00AC5394"/>
    <w:rsid w:val="00AC635A"/>
    <w:rsid w:val="00AD315E"/>
    <w:rsid w:val="00AD5E7D"/>
    <w:rsid w:val="00AE2ADF"/>
    <w:rsid w:val="00AE52A9"/>
    <w:rsid w:val="00AF2899"/>
    <w:rsid w:val="00AF3FCF"/>
    <w:rsid w:val="00AF4919"/>
    <w:rsid w:val="00B005E1"/>
    <w:rsid w:val="00B06DE9"/>
    <w:rsid w:val="00B12359"/>
    <w:rsid w:val="00B137F5"/>
    <w:rsid w:val="00B152A8"/>
    <w:rsid w:val="00B16E7A"/>
    <w:rsid w:val="00B230B8"/>
    <w:rsid w:val="00B24FD6"/>
    <w:rsid w:val="00B30E72"/>
    <w:rsid w:val="00B31A79"/>
    <w:rsid w:val="00B32446"/>
    <w:rsid w:val="00B34F33"/>
    <w:rsid w:val="00B35E2E"/>
    <w:rsid w:val="00B42AAF"/>
    <w:rsid w:val="00B46080"/>
    <w:rsid w:val="00B4751E"/>
    <w:rsid w:val="00B55E5C"/>
    <w:rsid w:val="00B61DCF"/>
    <w:rsid w:val="00B62F35"/>
    <w:rsid w:val="00B6311E"/>
    <w:rsid w:val="00B67AF3"/>
    <w:rsid w:val="00B808E4"/>
    <w:rsid w:val="00B91657"/>
    <w:rsid w:val="00B91EA7"/>
    <w:rsid w:val="00B942ED"/>
    <w:rsid w:val="00B978D6"/>
    <w:rsid w:val="00BA489E"/>
    <w:rsid w:val="00BA4E18"/>
    <w:rsid w:val="00BB257A"/>
    <w:rsid w:val="00BC38B7"/>
    <w:rsid w:val="00BC4897"/>
    <w:rsid w:val="00BC507E"/>
    <w:rsid w:val="00BC6024"/>
    <w:rsid w:val="00BD1B41"/>
    <w:rsid w:val="00BD2BD4"/>
    <w:rsid w:val="00BE3676"/>
    <w:rsid w:val="00BE6977"/>
    <w:rsid w:val="00BF01EB"/>
    <w:rsid w:val="00BF5A3E"/>
    <w:rsid w:val="00BF5ACB"/>
    <w:rsid w:val="00C0218A"/>
    <w:rsid w:val="00C02B90"/>
    <w:rsid w:val="00C035FA"/>
    <w:rsid w:val="00C12028"/>
    <w:rsid w:val="00C12860"/>
    <w:rsid w:val="00C17B9E"/>
    <w:rsid w:val="00C20146"/>
    <w:rsid w:val="00C2457F"/>
    <w:rsid w:val="00C269F2"/>
    <w:rsid w:val="00C41185"/>
    <w:rsid w:val="00C4418B"/>
    <w:rsid w:val="00C45C09"/>
    <w:rsid w:val="00C46207"/>
    <w:rsid w:val="00C477E6"/>
    <w:rsid w:val="00C47850"/>
    <w:rsid w:val="00C52687"/>
    <w:rsid w:val="00C53515"/>
    <w:rsid w:val="00C6716B"/>
    <w:rsid w:val="00C7752B"/>
    <w:rsid w:val="00C82A9D"/>
    <w:rsid w:val="00C939E8"/>
    <w:rsid w:val="00C952D6"/>
    <w:rsid w:val="00C96A29"/>
    <w:rsid w:val="00CA023E"/>
    <w:rsid w:val="00CA0B50"/>
    <w:rsid w:val="00CA57C5"/>
    <w:rsid w:val="00CB3703"/>
    <w:rsid w:val="00CB4ED6"/>
    <w:rsid w:val="00CC1047"/>
    <w:rsid w:val="00CC182A"/>
    <w:rsid w:val="00CC3A79"/>
    <w:rsid w:val="00CD14FA"/>
    <w:rsid w:val="00CE0020"/>
    <w:rsid w:val="00CE114E"/>
    <w:rsid w:val="00CE3F47"/>
    <w:rsid w:val="00CE4949"/>
    <w:rsid w:val="00CE7AED"/>
    <w:rsid w:val="00CF2E7E"/>
    <w:rsid w:val="00CF487F"/>
    <w:rsid w:val="00D019C6"/>
    <w:rsid w:val="00D01F14"/>
    <w:rsid w:val="00D02B53"/>
    <w:rsid w:val="00D03274"/>
    <w:rsid w:val="00D04760"/>
    <w:rsid w:val="00D06B09"/>
    <w:rsid w:val="00D24FF6"/>
    <w:rsid w:val="00D2642A"/>
    <w:rsid w:val="00D35AAC"/>
    <w:rsid w:val="00D35ACD"/>
    <w:rsid w:val="00D402BC"/>
    <w:rsid w:val="00D44AEE"/>
    <w:rsid w:val="00D47DAD"/>
    <w:rsid w:val="00D54B95"/>
    <w:rsid w:val="00D54EF6"/>
    <w:rsid w:val="00D6315C"/>
    <w:rsid w:val="00D71AA7"/>
    <w:rsid w:val="00D81D55"/>
    <w:rsid w:val="00D9121B"/>
    <w:rsid w:val="00D923E7"/>
    <w:rsid w:val="00D934AE"/>
    <w:rsid w:val="00D948C4"/>
    <w:rsid w:val="00D955EB"/>
    <w:rsid w:val="00D96793"/>
    <w:rsid w:val="00D97E3C"/>
    <w:rsid w:val="00DA26C2"/>
    <w:rsid w:val="00DB31BA"/>
    <w:rsid w:val="00DB4D16"/>
    <w:rsid w:val="00DB4E59"/>
    <w:rsid w:val="00DB71FF"/>
    <w:rsid w:val="00DC5D3E"/>
    <w:rsid w:val="00DD1DEB"/>
    <w:rsid w:val="00DD7BE5"/>
    <w:rsid w:val="00DE35D1"/>
    <w:rsid w:val="00DE4BF2"/>
    <w:rsid w:val="00DE7127"/>
    <w:rsid w:val="00DF0969"/>
    <w:rsid w:val="00DF7B3F"/>
    <w:rsid w:val="00E103BF"/>
    <w:rsid w:val="00E11629"/>
    <w:rsid w:val="00E24B8A"/>
    <w:rsid w:val="00E25874"/>
    <w:rsid w:val="00E33448"/>
    <w:rsid w:val="00E40320"/>
    <w:rsid w:val="00E51DCE"/>
    <w:rsid w:val="00E52724"/>
    <w:rsid w:val="00E53899"/>
    <w:rsid w:val="00E57519"/>
    <w:rsid w:val="00E62A9E"/>
    <w:rsid w:val="00E63C31"/>
    <w:rsid w:val="00E6774F"/>
    <w:rsid w:val="00E74B29"/>
    <w:rsid w:val="00E778FA"/>
    <w:rsid w:val="00E93342"/>
    <w:rsid w:val="00E97A94"/>
    <w:rsid w:val="00EA0DEC"/>
    <w:rsid w:val="00EA322D"/>
    <w:rsid w:val="00EA5D0B"/>
    <w:rsid w:val="00EA6830"/>
    <w:rsid w:val="00EA775E"/>
    <w:rsid w:val="00EB0E9E"/>
    <w:rsid w:val="00EC1852"/>
    <w:rsid w:val="00EC2C10"/>
    <w:rsid w:val="00EC577B"/>
    <w:rsid w:val="00ED015C"/>
    <w:rsid w:val="00ED1D18"/>
    <w:rsid w:val="00ED6137"/>
    <w:rsid w:val="00EE49E0"/>
    <w:rsid w:val="00EF2424"/>
    <w:rsid w:val="00EF7063"/>
    <w:rsid w:val="00F03587"/>
    <w:rsid w:val="00F114A1"/>
    <w:rsid w:val="00F21EA6"/>
    <w:rsid w:val="00F2202F"/>
    <w:rsid w:val="00F24491"/>
    <w:rsid w:val="00F264D3"/>
    <w:rsid w:val="00F30BE3"/>
    <w:rsid w:val="00F32BB4"/>
    <w:rsid w:val="00F4018F"/>
    <w:rsid w:val="00F419C0"/>
    <w:rsid w:val="00F478DA"/>
    <w:rsid w:val="00F50711"/>
    <w:rsid w:val="00F52213"/>
    <w:rsid w:val="00F57945"/>
    <w:rsid w:val="00F57C77"/>
    <w:rsid w:val="00F6187F"/>
    <w:rsid w:val="00F62149"/>
    <w:rsid w:val="00F64D08"/>
    <w:rsid w:val="00F74C9F"/>
    <w:rsid w:val="00F80046"/>
    <w:rsid w:val="00F84125"/>
    <w:rsid w:val="00F9058D"/>
    <w:rsid w:val="00F9414E"/>
    <w:rsid w:val="00F96BF2"/>
    <w:rsid w:val="00F97E8B"/>
    <w:rsid w:val="00FA0933"/>
    <w:rsid w:val="00FA7114"/>
    <w:rsid w:val="00FB2685"/>
    <w:rsid w:val="00FB331E"/>
    <w:rsid w:val="00FB6F5D"/>
    <w:rsid w:val="00FB76CA"/>
    <w:rsid w:val="00FC09B1"/>
    <w:rsid w:val="00FC7B67"/>
    <w:rsid w:val="00FD01CF"/>
    <w:rsid w:val="00FD3A5E"/>
    <w:rsid w:val="00FE4DF3"/>
    <w:rsid w:val="00FF267C"/>
    <w:rsid w:val="00FF3010"/>
    <w:rsid w:val="00FF73E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125"/>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
    <w:basedOn w:val="Normal"/>
    <w:link w:val="BodyTextChar"/>
    <w:uiPriority w:val="99"/>
    <w:rsid w:val="00660B11"/>
    <w:pPr>
      <w:spacing w:before="120" w:after="120" w:line="360" w:lineRule="exact"/>
      <w:ind w:firstLine="709"/>
    </w:pPr>
    <w:rPr>
      <w:sz w:val="24"/>
      <w:szCs w:val="24"/>
    </w:rPr>
  </w:style>
  <w:style w:type="character" w:customStyle="1" w:styleId="BodyTextChar">
    <w:name w:val="Body Text Char"/>
    <w:aliases w:val="bt Char"/>
    <w:basedOn w:val="DefaultParagraphFont"/>
    <w:link w:val="BodyText"/>
    <w:uiPriority w:val="99"/>
    <w:locked/>
    <w:rsid w:val="00660B11"/>
    <w:rPr>
      <w:rFonts w:ascii="Times New Roman" w:hAnsi="Times New Roman" w:cs="Times New Roman"/>
      <w:sz w:val="20"/>
      <w:szCs w:val="20"/>
    </w:rPr>
  </w:style>
  <w:style w:type="paragraph" w:styleId="BodyTextIndent2">
    <w:name w:val="Body Text Indent 2"/>
    <w:basedOn w:val="Normal"/>
    <w:link w:val="BodyTextIndent2Char"/>
    <w:uiPriority w:val="99"/>
    <w:rsid w:val="00256C01"/>
    <w:pPr>
      <w:spacing w:after="120" w:line="480" w:lineRule="auto"/>
      <w:ind w:left="283"/>
    </w:pPr>
  </w:style>
  <w:style w:type="character" w:customStyle="1" w:styleId="BodyTextIndent2Char">
    <w:name w:val="Body Text Indent 2 Char"/>
    <w:basedOn w:val="DefaultParagraphFont"/>
    <w:link w:val="BodyTextIndent2"/>
    <w:uiPriority w:val="99"/>
    <w:locked/>
    <w:rsid w:val="00256C01"/>
    <w:rPr>
      <w:rFonts w:ascii="Calibri" w:hAnsi="Calibri" w:cs="Calibri"/>
    </w:rPr>
  </w:style>
  <w:style w:type="paragraph" w:styleId="NormalWeb">
    <w:name w:val="Normal (Web)"/>
    <w:basedOn w:val="Normal"/>
    <w:uiPriority w:val="99"/>
    <w:semiHidden/>
    <w:rsid w:val="00943CF2"/>
    <w:pPr>
      <w:spacing w:before="100" w:beforeAutospacing="1" w:after="100" w:afterAutospacing="1" w:line="240" w:lineRule="auto"/>
    </w:pPr>
    <w:rPr>
      <w:sz w:val="24"/>
      <w:szCs w:val="24"/>
    </w:rPr>
  </w:style>
  <w:style w:type="character" w:styleId="Hyperlink">
    <w:name w:val="Hyperlink"/>
    <w:basedOn w:val="DefaultParagraphFont"/>
    <w:uiPriority w:val="99"/>
    <w:semiHidden/>
    <w:rsid w:val="00943CF2"/>
    <w:rPr>
      <w:color w:val="0000FF"/>
      <w:u w:val="single"/>
    </w:rPr>
  </w:style>
  <w:style w:type="paragraph" w:styleId="NoSpacing">
    <w:name w:val="No Spacing"/>
    <w:uiPriority w:val="99"/>
    <w:qFormat/>
    <w:rsid w:val="00B67AF3"/>
    <w:pPr>
      <w:suppressAutoHyphens/>
    </w:pPr>
    <w:rPr>
      <w:rFonts w:cs="Calibri"/>
    </w:rPr>
  </w:style>
  <w:style w:type="paragraph" w:customStyle="1" w:styleId="ConsPlusNormal">
    <w:name w:val="ConsPlusNormal"/>
    <w:uiPriority w:val="99"/>
    <w:rsid w:val="00C6716B"/>
    <w:pPr>
      <w:autoSpaceDE w:val="0"/>
      <w:autoSpaceDN w:val="0"/>
      <w:adjustRightInd w:val="0"/>
    </w:pPr>
    <w:rPr>
      <w:rFonts w:ascii="Arial" w:hAnsi="Arial" w:cs="Arial"/>
      <w:sz w:val="20"/>
      <w:szCs w:val="20"/>
    </w:rPr>
  </w:style>
  <w:style w:type="paragraph" w:customStyle="1" w:styleId="a">
    <w:name w:val="Знак"/>
    <w:basedOn w:val="Normal"/>
    <w:uiPriority w:val="99"/>
    <w:rsid w:val="002941F2"/>
    <w:pPr>
      <w:spacing w:after="0" w:line="240" w:lineRule="auto"/>
    </w:pPr>
    <w:rPr>
      <w:rFonts w:ascii="Verdana" w:hAnsi="Verdana" w:cs="Verdana"/>
      <w:sz w:val="20"/>
      <w:szCs w:val="20"/>
      <w:lang w:val="en-US" w:eastAsia="en-US"/>
    </w:rPr>
  </w:style>
  <w:style w:type="paragraph" w:customStyle="1" w:styleId="western">
    <w:name w:val="western"/>
    <w:basedOn w:val="Normal"/>
    <w:uiPriority w:val="99"/>
    <w:rsid w:val="009F5533"/>
    <w:pPr>
      <w:tabs>
        <w:tab w:val="left" w:pos="709"/>
      </w:tabs>
      <w:suppressAutoHyphens/>
      <w:spacing w:beforeAutospacing="1" w:after="142" w:line="227" w:lineRule="exact"/>
      <w:ind w:firstLine="720"/>
      <w:jc w:val="both"/>
    </w:pPr>
    <w:rPr>
      <w:lang w:eastAsia="zh-CN"/>
    </w:rPr>
  </w:style>
  <w:style w:type="paragraph" w:customStyle="1" w:styleId="1">
    <w:name w:val="Обычный1"/>
    <w:uiPriority w:val="99"/>
    <w:rsid w:val="00222ECA"/>
    <w:pPr>
      <w:tabs>
        <w:tab w:val="left" w:pos="709"/>
      </w:tabs>
      <w:suppressAutoHyphens/>
      <w:spacing w:after="200" w:line="276" w:lineRule="auto"/>
      <w:ind w:firstLine="720"/>
      <w:jc w:val="both"/>
    </w:pPr>
    <w:rPr>
      <w:rFonts w:ascii="Courier New CYR" w:hAnsi="Courier New CYR" w:cs="Courier New CYR"/>
      <w:sz w:val="28"/>
      <w:szCs w:val="28"/>
      <w:lang w:eastAsia="en-US"/>
    </w:rPr>
  </w:style>
</w:styles>
</file>

<file path=word/webSettings.xml><?xml version="1.0" encoding="utf-8"?>
<w:webSettings xmlns:r="http://schemas.openxmlformats.org/officeDocument/2006/relationships" xmlns:w="http://schemas.openxmlformats.org/wordprocessingml/2006/main">
  <w:divs>
    <w:div w:id="450785398">
      <w:marLeft w:val="0"/>
      <w:marRight w:val="0"/>
      <w:marTop w:val="0"/>
      <w:marBottom w:val="0"/>
      <w:divBdr>
        <w:top w:val="none" w:sz="0" w:space="0" w:color="auto"/>
        <w:left w:val="none" w:sz="0" w:space="0" w:color="auto"/>
        <w:bottom w:val="none" w:sz="0" w:space="0" w:color="auto"/>
        <w:right w:val="none" w:sz="0" w:space="0" w:color="auto"/>
      </w:divBdr>
    </w:div>
    <w:div w:id="450785399">
      <w:marLeft w:val="0"/>
      <w:marRight w:val="0"/>
      <w:marTop w:val="0"/>
      <w:marBottom w:val="0"/>
      <w:divBdr>
        <w:top w:val="none" w:sz="0" w:space="0" w:color="auto"/>
        <w:left w:val="none" w:sz="0" w:space="0" w:color="auto"/>
        <w:bottom w:val="none" w:sz="0" w:space="0" w:color="auto"/>
        <w:right w:val="none" w:sz="0" w:space="0" w:color="auto"/>
      </w:divBdr>
    </w:div>
    <w:div w:id="450785400">
      <w:marLeft w:val="0"/>
      <w:marRight w:val="0"/>
      <w:marTop w:val="0"/>
      <w:marBottom w:val="0"/>
      <w:divBdr>
        <w:top w:val="none" w:sz="0" w:space="0" w:color="auto"/>
        <w:left w:val="none" w:sz="0" w:space="0" w:color="auto"/>
        <w:bottom w:val="none" w:sz="0" w:space="0" w:color="auto"/>
        <w:right w:val="none" w:sz="0" w:space="0" w:color="auto"/>
      </w:divBdr>
    </w:div>
    <w:div w:id="450785401">
      <w:marLeft w:val="0"/>
      <w:marRight w:val="0"/>
      <w:marTop w:val="0"/>
      <w:marBottom w:val="0"/>
      <w:divBdr>
        <w:top w:val="none" w:sz="0" w:space="0" w:color="auto"/>
        <w:left w:val="none" w:sz="0" w:space="0" w:color="auto"/>
        <w:bottom w:val="none" w:sz="0" w:space="0" w:color="auto"/>
        <w:right w:val="none" w:sz="0" w:space="0" w:color="auto"/>
      </w:divBdr>
    </w:div>
    <w:div w:id="4507854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2992</TotalTime>
  <Pages>8</Pages>
  <Words>3016</Words>
  <Characters>17197</Characters>
  <Application>Microsoft Office Outlook</Application>
  <DocSecurity>0</DocSecurity>
  <Lines>0</Lines>
  <Paragraphs>0</Paragraphs>
  <ScaleCrop>false</ScaleCrop>
  <Company>Администрация Петровского муниципального района</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экономичесого развития</dc:creator>
  <cp:keywords/>
  <dc:description/>
  <cp:lastModifiedBy>qwerty</cp:lastModifiedBy>
  <cp:revision>208</cp:revision>
  <cp:lastPrinted>2024-11-15T05:47:00Z</cp:lastPrinted>
  <dcterms:created xsi:type="dcterms:W3CDTF">2022-10-28T13:26:00Z</dcterms:created>
  <dcterms:modified xsi:type="dcterms:W3CDTF">2024-11-15T05:49:00Z</dcterms:modified>
</cp:coreProperties>
</file>