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32"/>
          <w:szCs w:val="32"/>
          <w:lang w:eastAsia="en-US"/>
        </w:rPr>
        <w:t xml:space="preserve">Р А С П О Р Я Ж Е Н И Е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</w:r>
    </w:p>
    <w:p>
      <w:pPr>
        <w:pStyle w:val="616"/>
        <w:ind w:firstLine="567"/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</w:r>
    </w:p>
    <w:p>
      <w:pPr>
        <w:pStyle w:val="616"/>
        <w:ind w:firstLine="567"/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АДМИНИСТРАЦИИ ПЕТРОВСКОГО МУНИЦИПАЛЬНОГО ОКРУГА СТАВРОПОЛЬСКОГО КРАЯ</w:t>
      </w:r>
      <w:r>
        <w:rPr>
          <w:rFonts w:ascii="Times New Roman" w:hAnsi="Times New Roman" w:cs="Times New Roman"/>
          <w:sz w:val="24"/>
          <w:szCs w:val="24"/>
          <w:lang w:eastAsia="en-US"/>
        </w:rPr>
      </w:r>
    </w:p>
    <w:p>
      <w:pPr>
        <w:pStyle w:val="616"/>
        <w:ind w:firstLine="567"/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</w:r>
      <w:r>
        <w:rPr>
          <w:rFonts w:ascii="Times New Roman" w:hAnsi="Times New Roman" w:cs="Times New Roman"/>
          <w:sz w:val="24"/>
          <w:szCs w:val="24"/>
          <w:lang w:eastAsia="en-US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>
          <w:trHeight w:val="20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16"/>
              <w:ind w:left="-108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декабря 2024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г. Светлоград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16"/>
              <w:ind w:firstLine="567"/>
              <w:jc w:val="right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547-р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16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Об утверждении детального плана-графика реализации муниципальной программы Петровского муниципального округа Ставропольского края «Развитие сельского хозяйства» на 2025 год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Петровского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утверждённым постановлением администрации Петровского городского округа Ставропольского края                       от 11</w:t>
      </w:r>
      <w:r>
        <w:rPr>
          <w:rFonts w:ascii="Times New Roman" w:hAnsi="Times New Roman" w:cs="Times New Roman"/>
          <w:sz w:val="28"/>
          <w:szCs w:val="28"/>
        </w:rPr>
        <w:t xml:space="preserve"> апреля 2018 г. № 528 (в редакции от 10 января 2024 г. № 03,                           от 07 мая 2024 г. № 778), в целях реализации муниципальной программы Петровского муниципального округа Ставропольского края «Развитие сельского хозяйства», утвержденной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постановлением администрации Петровского городского округа Ставропольского края от 13 ноября 2020 г.   № 1568 (в редакции от 12 марта 2024 г. № 395)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85"/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1. Утвердить прилагаемый детальный план-график реализации муниципальной программы Петровского муниципального округа Ставропольского края «Развитие сельского хозяйства» на 2025 год.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85"/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распоряжения возложи</w:t>
      </w:r>
      <w:r>
        <w:rPr>
          <w:rFonts w:ascii="Times New Roman" w:hAnsi="Times New Roman" w:cs="Times New Roman"/>
          <w:sz w:val="28"/>
          <w:szCs w:val="28"/>
        </w:rPr>
        <w:t xml:space="preserve">ть на исполняющего обязанности первого заместителя главы администрации Петровского муниципального округа Ставропольского края                                                                        Сергееву Е.И., заместителя главы администрации Петровского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Петрича Ю.В.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3. Настоящее распоряжение вступает в силу с 01 января 2025 года.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616"/>
        <w:jc w:val="both"/>
        <w:spacing w:after="0" w:line="240" w:lineRule="exact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616"/>
        <w:jc w:val="both"/>
        <w:spacing w:after="0" w:line="240" w:lineRule="exact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616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Глава Петровского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муниципального округа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     Н.В.Конкина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jc w:val="both"/>
        <w:spacing w:after="0" w:line="240" w:lineRule="exact"/>
        <w:rPr>
          <w:rFonts w:ascii="Times New Roman" w:hAnsi="Times New Roman" w:cs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  <w:t xml:space="preserve">Проект распоряжения вносит заместитель главы администрации  Петровского муниципального округа Ставропольского края</w:t>
      </w:r>
      <w:r>
        <w:rPr>
          <w:rFonts w:ascii="Times New Roman" w:hAnsi="Times New Roman" w:cs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ffffff"/>
          <w:sz w:val="28"/>
          <w:szCs w:val="28"/>
          <w:lang w:eastAsia="en-US"/>
        </w:rPr>
      </w:r>
    </w:p>
    <w:p>
      <w:pPr>
        <w:pStyle w:val="616"/>
        <w:jc w:val="both"/>
        <w:spacing w:after="0" w:line="240" w:lineRule="exact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ffffff"/>
          <w:sz w:val="28"/>
          <w:szCs w:val="28"/>
          <w:lang w:eastAsia="en-U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  <w:t xml:space="preserve">Ю.В.Петрич</w:t>
      </w: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r>
    </w:p>
    <w:p>
      <w:pPr>
        <w:pStyle w:val="616"/>
        <w:jc w:val="both"/>
        <w:spacing w:after="0" w:line="240" w:lineRule="exact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r>
    </w:p>
    <w:p>
      <w:pPr>
        <w:pStyle w:val="616"/>
        <w:jc w:val="both"/>
        <w:spacing w:after="0" w:line="240" w:lineRule="exact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r>
    </w:p>
    <w:p>
      <w:pPr>
        <w:pStyle w:val="616"/>
        <w:jc w:val="both"/>
        <w:spacing w:after="0" w:line="240" w:lineRule="exact"/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ffffff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Визируют: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38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ind w:left="-1418" w:right="1274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администрации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ind w:left="-1418" w:right="1274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ind w:left="-1418" w:right="1274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Е.С.Меркулова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отдела стратегического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планирования и инвестиций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Петровского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округа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Ставропольского края                                                              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     Л.В.Кириленко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Начальник правового отдела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администрации Петровского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муниципального округа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    О.А.Нехаенко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Начальник отдела по организационно -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кадровым вопросам и профилактике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коррупционных правонарушений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администрации Петровского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муниципального округа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   С.Н.Кулькина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Проект распоряжения подготовлен отделом сельского хозяйства и охраны окружающей среды администрации Петровского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616"/>
        <w:ind w:left="-1418" w:right="1274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И.М.Каменецкая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1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45"/>
        <w:gridCol w:w="4903"/>
      </w:tblGrid>
      <w:tr>
        <w:tblPrEx/>
        <w:trPr>
          <w:trHeight w:val="24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0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exact"/>
              <w:tabs>
                <w:tab w:val="left" w:pos="1185" w:leader="none"/>
                <w:tab w:val="center" w:pos="2018" w:leader="none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</w:t>
            </w:r>
            <w:r/>
          </w:p>
        </w:tc>
      </w:tr>
      <w:tr>
        <w:tblPrEx/>
        <w:trPr>
          <w:trHeight w:val="73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0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администрации Петровского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                    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16"/>
              <w:jc w:val="center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03 декабря 2024 г. № 547-р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0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16"/>
        <w:jc w:val="center"/>
        <w:spacing w:before="57" w:after="57" w:line="240" w:lineRule="exac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jc w:val="center"/>
        <w:spacing w:before="57" w:after="57" w:line="240" w:lineRule="exac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jc w:val="center"/>
        <w:spacing w:before="57" w:after="57" w:line="240" w:lineRule="exac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Детальный план-график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jc w:val="center"/>
        <w:spacing w:before="57" w:after="57" w:line="240" w:lineRule="exac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Петровского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jc w:val="center"/>
        <w:spacing w:before="57" w:after="57" w:line="240" w:lineRule="exac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jc w:val="center"/>
        <w:spacing w:before="57" w:after="57" w:line="240" w:lineRule="exact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на 2025 год</w:t>
      </w:r>
      <w:r/>
    </w:p>
    <w:p>
      <w:pPr>
        <w:pStyle w:val="616"/>
        <w:jc w:val="center"/>
        <w:spacing w:after="0" w:line="240" w:lineRule="exact"/>
        <w:widowControl w:val="off"/>
      </w:pPr>
      <w:r/>
      <w:r/>
    </w:p>
    <w:p>
      <w:pPr>
        <w:pStyle w:val="616"/>
        <w:spacing w:after="0" w:line="240" w:lineRule="auto"/>
        <w:widowControl w:val="off"/>
        <w:rPr>
          <w:rFonts w:ascii="Times New Roman" w:hAnsi="Times New Roman" w:cs="Times New Roman"/>
          <w:sz w:val="2"/>
          <w:szCs w:val="28"/>
        </w:rPr>
      </w:pPr>
      <w:r>
        <w:rPr>
          <w:rFonts w:ascii="Times New Roman" w:hAnsi="Times New Roman" w:cs="Times New Roman"/>
          <w:sz w:val="2"/>
          <w:szCs w:val="28"/>
        </w:rPr>
      </w:r>
      <w:r>
        <w:rPr>
          <w:rFonts w:ascii="Times New Roman" w:hAnsi="Times New Roman" w:cs="Times New Roman"/>
          <w:sz w:val="2"/>
          <w:szCs w:val="28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70"/>
        <w:gridCol w:w="2715"/>
        <w:gridCol w:w="1995"/>
        <w:gridCol w:w="1456"/>
        <w:gridCol w:w="994"/>
        <w:gridCol w:w="1000"/>
        <w:gridCol w:w="1378"/>
        <w:gridCol w:w="1127"/>
        <w:gridCol w:w="1020"/>
        <w:gridCol w:w="192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tcW w:w="570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exac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6"/>
              <w:jc w:val="center"/>
              <w:spacing w:after="0" w:line="240" w:lineRule="exact"/>
              <w:widowControl w:val="off"/>
            </w:pPr>
            <w:r>
              <w:rPr>
                <w:rFonts w:ascii="Times New Roman" w:hAnsi="Times New Roman" w:cs="Times New Roman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cW w:w="2715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exac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основного мероприятия подпрограммы Программы, мероприятия, контрольного события мероприятия подпрограммы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6"/>
              <w:jc w:val="center"/>
              <w:spacing w:after="0" w:line="240" w:lineRule="exact"/>
              <w:widowControl w:val="off"/>
            </w:pPr>
            <w:r>
              <w:rPr>
                <w:rFonts w:ascii="Times New Roman" w:hAnsi="Times New Roman" w:cs="Times New Roman"/>
              </w:rPr>
              <w:t xml:space="preserve">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cW w:w="1995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exact"/>
              <w:widowControl w:val="off"/>
            </w:pPr>
            <w:r>
              <w:rPr>
                <w:rFonts w:ascii="Times New Roman" w:hAnsi="Times New Roman" w:cs="Times New Roman"/>
              </w:rPr>
              <w:t xml:space="preserve">Ответственный исполнитель (должность Ф.И.О)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cW w:w="1456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exact"/>
              <w:widowControl w:val="off"/>
            </w:pPr>
            <w:r>
              <w:rPr>
                <w:rFonts w:ascii="Times New Roman" w:hAnsi="Times New Roman" w:cs="Times New Roman"/>
              </w:rPr>
              <w:t xml:space="preserve">Дата наступления контрольного события 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43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Программы, </w:t>
            </w:r>
            <w:r>
              <w:rPr>
                <w:sz w:val="22"/>
                <w:szCs w:val="22"/>
              </w:rPr>
            </w:r>
          </w:p>
          <w:p>
            <w:pPr>
              <w:pStyle w:val="686"/>
              <w:jc w:val="center"/>
              <w:spacing w:line="240" w:lineRule="exact"/>
            </w:pPr>
            <w:r>
              <w:rPr>
                <w:sz w:val="22"/>
                <w:szCs w:val="22"/>
              </w:rPr>
              <w:t xml:space="preserve">тыс. рублей</w:t>
            </w:r>
            <w:r/>
          </w:p>
        </w:tc>
      </w:tr>
      <w:tr>
        <w:tblPrEx/>
        <w:trPr>
          <w:trHeight w:val="6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tcW w:w="570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cW w:w="2715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cW w:w="1456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6"/>
              <w:jc w:val="center"/>
              <w:spacing w:line="240" w:lineRule="exact"/>
            </w:pPr>
            <w:r>
              <w:rPr>
                <w:sz w:val="22"/>
                <w:szCs w:val="22"/>
              </w:rPr>
              <w:t xml:space="preserve">Всего, в том числе: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378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line="240" w:lineRule="exact"/>
            </w:pPr>
            <w:r>
              <w:rPr>
                <w:sz w:val="22"/>
                <w:szCs w:val="22"/>
              </w:rPr>
              <w:t xml:space="preserve">Бюджет округа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6"/>
              <w:jc w:val="center"/>
              <w:spacing w:line="240" w:lineRule="exact"/>
            </w:pPr>
            <w:r>
              <w:rPr>
                <w:sz w:val="22"/>
                <w:szCs w:val="22"/>
              </w:rPr>
              <w:t xml:space="preserve">Налоговые расходы бюджета округа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294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line="240" w:lineRule="exact"/>
            </w:pPr>
            <w:r>
              <w:rPr>
                <w:sz w:val="22"/>
                <w:szCs w:val="22"/>
              </w:rPr>
              <w:t xml:space="preserve">Средства участников Программы</w:t>
            </w:r>
            <w:r/>
          </w:p>
        </w:tc>
      </w:tr>
      <w:tr>
        <w:tblPrEx/>
        <w:trPr>
          <w:trHeight w:val="1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tcW w:w="570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cW w:w="2715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cW w:w="1456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line="240" w:lineRule="exact"/>
            </w:pPr>
            <w:r>
              <w:rPr>
                <w:sz w:val="22"/>
                <w:szCs w:val="22"/>
              </w:rPr>
              <w:t xml:space="preserve">Бюджет округа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line="240" w:lineRule="exact"/>
            </w:pPr>
            <w:r>
              <w:rPr>
                <w:sz w:val="22"/>
                <w:szCs w:val="22"/>
              </w:rPr>
              <w:t xml:space="preserve">Межбюджетные трансферты из краевого бюджета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line="240" w:lineRule="exact"/>
            </w:pPr>
            <w:r>
              <w:rPr>
                <w:sz w:val="22"/>
                <w:szCs w:val="22"/>
              </w:rPr>
              <w:t xml:space="preserve">юридические лица</w:t>
            </w:r>
            <w:r/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line="240" w:lineRule="exact"/>
            </w:pPr>
            <w:r>
              <w:rPr>
                <w:sz w:val="22"/>
                <w:szCs w:val="22"/>
              </w:rPr>
              <w:t xml:space="preserve">индивидуальные предприниматели, физические лица</w:t>
            </w:r>
            <w:r/>
          </w:p>
        </w:tc>
      </w:tr>
      <w:tr>
        <w:tblPrEx/>
        <w:trPr>
          <w:trHeight w:val="111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15" w:type="dxa"/>
            <w:vAlign w:val="center"/>
            <w:textDirection w:val="lrTb"/>
            <w:noWrap w:val="false"/>
          </w:tcPr>
          <w:p>
            <w:pPr>
              <w:pStyle w:val="616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pStyle w:val="616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</w:tr>
      <w:tr>
        <w:tblPrEx/>
        <w:trPr>
          <w:trHeight w:val="1119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b/>
              </w:rPr>
              <w:t xml:space="preserve">Программа «Развитие сельского хозяйства»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заместитель начальника отдела сельского хозяйства и охраны окружающей среды администрации Петровского муниципального округа Ставропольского края (далее - заместитель начальника отдела сельского хозяйства и охраны окружающей среды)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И.М.Каменецкая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56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7772,23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4375,36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2806,37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</w:rPr>
              <w:t xml:space="preserve">0,00</w:t>
            </w:r>
            <w:r>
              <w:rPr>
                <w:rFonts w:ascii="Times New Roman" w:hAnsi="Times New Roman" w:cs="Times New Roman"/>
                <w:b/>
                <w:shd w:val="clear" w:color="auto" w:fill="ffff00"/>
              </w:rPr>
            </w:r>
            <w:r>
              <w:rPr>
                <w:rFonts w:ascii="Times New Roman" w:hAnsi="Times New Roman" w:cs="Times New Roman"/>
                <w:b/>
                <w:shd w:val="clear" w:color="auto" w:fill="ffff00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shd w:val="clear" w:color="auto" w:fill="ffff00"/>
              </w:rPr>
            </w:r>
            <w:r>
              <w:rPr>
                <w:rFonts w:ascii="Times New Roman" w:hAnsi="Times New Roman" w:cs="Times New Roman"/>
                <w:b/>
                <w:shd w:val="clear" w:color="auto" w:fill="ffff00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shd w:val="clear" w:color="auto" w:fill="ffff00"/>
              </w:rPr>
            </w:r>
            <w:r>
              <w:rPr>
                <w:rFonts w:ascii="Times New Roman" w:hAnsi="Times New Roman" w:cs="Times New Roman"/>
                <w:b/>
                <w:shd w:val="clear" w:color="auto" w:fill="ffff0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572,50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</w:rPr>
              <w:t xml:space="preserve">18,00</w:t>
            </w:r>
            <w:r>
              <w:rPr>
                <w:rFonts w:ascii="Times New Roman" w:hAnsi="Times New Roman" w:cs="Times New Roman"/>
                <w:b/>
                <w:shd w:val="clear" w:color="auto" w:fill="ffff00"/>
              </w:rPr>
            </w:r>
            <w:r>
              <w:rPr>
                <w:rFonts w:ascii="Times New Roman" w:hAnsi="Times New Roman" w:cs="Times New Roman"/>
                <w:b/>
                <w:shd w:val="clear" w:color="auto" w:fill="ffff00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shd w:val="clear" w:color="auto" w:fill="ffff00"/>
              </w:rPr>
            </w:r>
            <w:r>
              <w:rPr>
                <w:rFonts w:ascii="Times New Roman" w:hAnsi="Times New Roman" w:cs="Times New Roman"/>
                <w:b/>
                <w:shd w:val="clear" w:color="auto" w:fill="ffff00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shd w:val="clear" w:color="auto" w:fill="ffff00"/>
              </w:rPr>
            </w:r>
            <w:r>
              <w:rPr>
                <w:rFonts w:ascii="Times New Roman" w:hAnsi="Times New Roman" w:cs="Times New Roman"/>
                <w:b/>
                <w:shd w:val="clear" w:color="auto" w:fill="ffff00"/>
              </w:rPr>
            </w:r>
          </w:p>
        </w:tc>
      </w:tr>
      <w:tr>
        <w:tblPrEx/>
        <w:trPr>
          <w:trHeight w:val="1397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I.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widowControl w:val="off"/>
            </w:pPr>
            <w:r>
              <w:rPr>
                <w:rFonts w:ascii="Times New Roman" w:hAnsi="Times New Roman" w:eastAsia="Cambria" w:cs="Times New Roman"/>
                <w:b/>
              </w:rPr>
              <w:t xml:space="preserve">Подпрограмма </w:t>
            </w:r>
            <w:r>
              <w:rPr>
                <w:rFonts w:ascii="Times New Roman" w:hAnsi="Times New Roman" w:eastAsia="Cambria" w:cs="Times New Roman"/>
                <w:b/>
                <w:bCs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Обеспечение устойчивого развития сельскохозяйственного производства</w:t>
            </w:r>
            <w:r>
              <w:rPr>
                <w:rFonts w:ascii="Times New Roman" w:hAnsi="Times New Roman" w:eastAsia="Cambria" w:cs="Times New Roman"/>
                <w:b/>
                <w:bCs/>
              </w:rPr>
              <w:t xml:space="preserve">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И.М.Каменецкая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56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</w:rPr>
              <w:t xml:space="preserve">1176,55</w:t>
            </w:r>
            <w:r>
              <w:rPr>
                <w:rFonts w:ascii="Times New Roman" w:hAnsi="Times New Roman" w:cs="Times New Roman"/>
                <w:b/>
                <w:shd w:val="clear" w:color="auto" w:fill="ffff00"/>
              </w:rPr>
            </w:r>
            <w:r>
              <w:rPr>
                <w:rFonts w:ascii="Times New Roman" w:hAnsi="Times New Roman" w:cs="Times New Roman"/>
                <w:b/>
                <w:shd w:val="clear" w:color="auto" w:fill="ffff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shd w:val="clear" w:color="auto" w:fill="ffff00"/>
              </w:rPr>
            </w:r>
            <w:r>
              <w:rPr>
                <w:rFonts w:ascii="Times New Roman" w:hAnsi="Times New Roman" w:cs="Times New Roman"/>
                <w:b/>
                <w:shd w:val="clear" w:color="auto" w:fill="ffff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shd w:val="clear" w:color="auto" w:fill="ffff00"/>
              </w:rPr>
            </w:r>
            <w:r>
              <w:rPr>
                <w:rFonts w:ascii="Times New Roman" w:hAnsi="Times New Roman" w:cs="Times New Roman"/>
                <w:b/>
                <w:shd w:val="clear" w:color="auto" w:fill="ffff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shd w:val="clear" w:color="auto" w:fill="ffff00"/>
              </w:rPr>
            </w:r>
            <w:r>
              <w:rPr>
                <w:rFonts w:ascii="Times New Roman" w:hAnsi="Times New Roman" w:cs="Times New Roman"/>
                <w:b/>
                <w:shd w:val="clear" w:color="auto" w:fill="ffff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shd w:val="clear" w:color="auto" w:fill="ffff00"/>
              </w:rPr>
            </w:r>
            <w:r>
              <w:rPr>
                <w:rFonts w:ascii="Times New Roman" w:hAnsi="Times New Roman" w:cs="Times New Roman"/>
                <w:b/>
                <w:shd w:val="clear" w:color="auto" w:fill="ffff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shd w:val="clear" w:color="auto" w:fill="ffff00"/>
              </w:rPr>
            </w:r>
            <w:r>
              <w:rPr>
                <w:rFonts w:ascii="Times New Roman" w:hAnsi="Times New Roman" w:cs="Times New Roman"/>
                <w:b/>
                <w:shd w:val="clear" w:color="auto" w:fill="ffff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shd w:val="clear" w:color="auto" w:fill="ffff00"/>
              </w:rPr>
            </w:r>
            <w:r>
              <w:rPr>
                <w:rFonts w:ascii="Times New Roman" w:hAnsi="Times New Roman" w:cs="Times New Roman"/>
                <w:b/>
                <w:shd w:val="clear" w:color="auto" w:fill="ffff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shd w:val="clear" w:color="auto" w:fill="ffff00"/>
              </w:rPr>
            </w:r>
            <w:r>
              <w:rPr>
                <w:rFonts w:ascii="Times New Roman" w:hAnsi="Times New Roman" w:cs="Times New Roman"/>
                <w:b/>
                <w:shd w:val="clear" w:color="auto" w:fill="ffff0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390,00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206,05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0,00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562,50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18,00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915"/>
        </w:trPr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1.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jc w:val="left"/>
              <w:spacing w:line="240" w:lineRule="auto"/>
              <w:widowControl/>
            </w:pPr>
            <w:r>
              <w:rPr>
                <w:sz w:val="22"/>
                <w:szCs w:val="22"/>
              </w:rPr>
              <w:t xml:space="preserve">Развитие растениеводства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И.М.Каменецкая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56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726,55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390,00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206,05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112,50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18,00</w:t>
            </w:r>
            <w:r/>
          </w:p>
        </w:tc>
      </w:tr>
      <w:tr>
        <w:tblPrEx/>
        <w:trPr>
          <w:trHeight w:val="1125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98"/>
              <w:ind w:firstLine="0"/>
              <w:jc w:val="center"/>
              <w:spacing w:after="0" w:line="240" w:lineRule="exact"/>
              <w:widowControl w:val="off"/>
            </w:pPr>
            <w:r>
              <w:rPr>
                <w:rFonts w:cs="Times New Roman"/>
                <w:sz w:val="22"/>
                <w:szCs w:val="22"/>
              </w:rPr>
              <w:t xml:space="preserve">1.1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Контрольное событие 1.</w:t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687"/>
              <w:ind w:hanging="27"/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Финансовая поддержка в области </w:t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687"/>
              <w:ind w:hanging="27"/>
              <w:spacing w:line="240" w:lineRule="auto"/>
            </w:pPr>
            <w:r>
              <w:rPr>
                <w:i/>
                <w:sz w:val="22"/>
                <w:szCs w:val="22"/>
              </w:rPr>
              <w:t xml:space="preserve">растениеводства, оказана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И.М.Каменецкая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29.12.2025 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blPrEx/>
        <w:trPr>
          <w:trHeight w:val="3465"/>
        </w:trPr>
        <w:tc>
          <w:tcPr>
            <w:tcBorders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1.2.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spacing w:line="240" w:lineRule="auto"/>
              <w:widowControl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Контрольное событие 2.</w:t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616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i/>
              </w:rPr>
              <w:t xml:space="preserve">Условия проведения соревнования муниципального округа по организованному проведению уборки зерновых культур и состав комиссии муниципального округа по подведению итогов соревнования по организованному проведению уборки зерновых культур, утверждены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И.М.Каменецкая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1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27.06.2025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widowControl w:val="off"/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blPrEx/>
        <w:trPr>
          <w:trHeight w:val="2325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1.3.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spacing w:line="240" w:lineRule="auto"/>
              <w:widowControl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Контрольное событие 3.</w:t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616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i/>
              </w:rPr>
              <w:t xml:space="preserve">Итоги соревнования по  организованному проведению уборки зерновых и зернобобовых культур в Петровском муниципальном округе Ставропольского края, подведены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И.М.Каменецкая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до 29.08.2025 </w:t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blPrEx/>
        <w:trPr>
          <w:trHeight w:val="1935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1.4.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spacing w:line="240" w:lineRule="auto"/>
              <w:widowControl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Контрольное событие 4.</w:t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616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i/>
              </w:rPr>
              <w:t xml:space="preserve">Совещание по подведению итогов соревнования по организованному проведению уборки зерновых культур, проведено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И.М.Каменецкая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до 29.12.2025</w:t>
            </w: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blPrEx/>
        <w:trPr>
          <w:trHeight w:val="3165"/>
        </w:trPr>
        <w:tc>
          <w:tcPr>
            <w:tcBorders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1.5.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spacing w:line="240" w:lineRule="auto"/>
              <w:widowControl/>
              <w:rPr>
                <w:rFonts w:eastAsia="MS Mincho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Контрольное событие 5.</w:t>
            </w:r>
            <w:r>
              <w:rPr>
                <w:rFonts w:eastAsia="MS Mincho"/>
                <w:i/>
                <w:sz w:val="22"/>
                <w:szCs w:val="22"/>
              </w:rPr>
            </w:r>
            <w:r>
              <w:rPr>
                <w:rFonts w:eastAsia="MS Mincho"/>
                <w:i/>
                <w:sz w:val="22"/>
                <w:szCs w:val="22"/>
              </w:rPr>
            </w:r>
          </w:p>
          <w:p>
            <w:pPr>
              <w:pStyle w:val="687"/>
              <w:ind w:hanging="27"/>
              <w:spacing w:line="240" w:lineRule="auto"/>
              <w:widowControl/>
            </w:pPr>
            <w:r>
              <w:rPr>
                <w:rFonts w:eastAsia="MS Mincho"/>
                <w:i/>
                <w:sz w:val="22"/>
                <w:szCs w:val="22"/>
              </w:rPr>
              <w:t xml:space="preserve">Энтомологическое обследование природных биотопов (пастбищ) для изучения видового состава и численности популяций иксодовых клещей и определения оптимальной концентрации и дозы инсекто-аккарицида для обработки территории, проведено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И.М.Каменецкая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1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27.06.2025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blPrEx/>
        <w:trPr>
          <w:trHeight w:val="1140"/>
        </w:trPr>
        <w:tc>
          <w:tcPr>
            <w:tcBorders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1.6.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spacing w:line="240" w:lineRule="auto"/>
              <w:widowControl/>
              <w:rPr>
                <w:rFonts w:eastAsia="MS Mincho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Контрольное событие 6.</w:t>
            </w:r>
            <w:r>
              <w:rPr>
                <w:rFonts w:eastAsia="MS Mincho"/>
                <w:i/>
                <w:sz w:val="22"/>
                <w:szCs w:val="22"/>
              </w:rPr>
            </w:r>
            <w:r>
              <w:rPr>
                <w:rFonts w:eastAsia="MS Mincho"/>
                <w:i/>
                <w:sz w:val="22"/>
                <w:szCs w:val="22"/>
              </w:rPr>
            </w:r>
          </w:p>
          <w:p>
            <w:pPr>
              <w:pStyle w:val="687"/>
              <w:ind w:hanging="27"/>
              <w:spacing w:line="240" w:lineRule="auto"/>
              <w:widowControl/>
            </w:pPr>
            <w:r>
              <w:rPr>
                <w:rFonts w:eastAsia="MS Mincho"/>
                <w:i/>
                <w:sz w:val="22"/>
                <w:szCs w:val="22"/>
              </w:rPr>
              <w:t xml:space="preserve">Аккарицидная обработка природных биотопов (пастбищ), проведена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И.М.Каменецкая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1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27.06.2025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blPrEx/>
        <w:trPr>
          <w:trHeight w:val="1650"/>
        </w:trPr>
        <w:tc>
          <w:tcPr>
            <w:tcBorders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1.7.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spacing w:line="240" w:lineRule="auto"/>
              <w:widowControl/>
              <w:rPr>
                <w:rFonts w:eastAsia="MS Mincho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Контрольное событие 7.</w:t>
            </w:r>
            <w:r>
              <w:rPr>
                <w:rFonts w:eastAsia="MS Mincho"/>
                <w:i/>
                <w:sz w:val="22"/>
                <w:szCs w:val="22"/>
              </w:rPr>
            </w:r>
            <w:r>
              <w:rPr>
                <w:rFonts w:eastAsia="MS Mincho"/>
                <w:i/>
                <w:sz w:val="22"/>
                <w:szCs w:val="22"/>
              </w:rPr>
            </w:r>
          </w:p>
          <w:p>
            <w:pPr>
              <w:pStyle w:val="687"/>
              <w:ind w:hanging="27"/>
              <w:spacing w:line="240" w:lineRule="auto"/>
              <w:widowControl/>
            </w:pPr>
            <w:r>
              <w:rPr>
                <w:rFonts w:eastAsia="MS Mincho"/>
                <w:i/>
                <w:sz w:val="22"/>
                <w:szCs w:val="22"/>
              </w:rPr>
              <w:t xml:space="preserve">Контроль эффективности аккарицидной обработки природных биотопов (пастбищ) проведен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И.М.Каменецкая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1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27.06.2025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blPrEx/>
        <w:trPr>
          <w:trHeight w:val="1650"/>
        </w:trPr>
        <w:tc>
          <w:tcPr>
            <w:tcBorders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1.8.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spacing w:line="240" w:lineRule="auto"/>
              <w:widowControl/>
              <w:rPr>
                <w:i/>
                <w:i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Контрольное событие 8.</w:t>
            </w: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</w:p>
          <w:p>
            <w:pPr>
              <w:pStyle w:val="687"/>
              <w:ind w:hanging="27"/>
              <w:spacing w:line="240" w:lineRule="auto"/>
              <w:widowControl/>
            </w:pPr>
            <w:r>
              <w:rPr>
                <w:i/>
                <w:iCs/>
                <w:sz w:val="22"/>
                <w:szCs w:val="22"/>
              </w:rPr>
              <w:t xml:space="preserve">Агрохимическое обследование земельных участков и земель сельскохозяйственного назначения сельскохозяйственных предприятий и крестьянских (фермерских) хозяйств, проведено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И.М.Каменецкая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1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29.12.2025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blPrEx/>
        <w:trPr>
          <w:trHeight w:val="900"/>
        </w:trPr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2.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spacing w:line="240" w:lineRule="auto"/>
              <w:widowControl/>
            </w:pPr>
            <w:r>
              <w:rPr>
                <w:bCs/>
                <w:sz w:val="22"/>
                <w:szCs w:val="22"/>
              </w:rPr>
              <w:t xml:space="preserve">Развитие животноводства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И.М.Каменецкая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56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450,00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450,00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</w:tr>
      <w:tr>
        <w:tblPrEx/>
        <w:trPr>
          <w:trHeight w:val="1362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2.1.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spacing w:line="240" w:lineRule="auto"/>
              <w:widowControl/>
              <w:rPr>
                <w:rFonts w:eastAsia="Cambria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Контрольное событие 9.</w:t>
            </w:r>
            <w:r>
              <w:rPr>
                <w:rFonts w:eastAsia="Cambria"/>
                <w:i/>
                <w:sz w:val="22"/>
                <w:szCs w:val="22"/>
              </w:rPr>
            </w:r>
            <w:r>
              <w:rPr>
                <w:rFonts w:eastAsia="Cambria"/>
                <w:i/>
                <w:sz w:val="22"/>
                <w:szCs w:val="22"/>
              </w:rPr>
            </w:r>
          </w:p>
          <w:p>
            <w:pPr>
              <w:pStyle w:val="687"/>
              <w:ind w:hanging="27"/>
              <w:spacing w:line="240" w:lineRule="auto"/>
              <w:widowControl/>
            </w:pPr>
            <w:r>
              <w:rPr>
                <w:rFonts w:eastAsia="Cambria"/>
                <w:i/>
                <w:sz w:val="22"/>
                <w:szCs w:val="22"/>
              </w:rPr>
              <w:t xml:space="preserve">Мониторинг развития животноводства в хозяйствах всех категорий,  проведен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И.М.Каменецкая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56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до 04.07.2025;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до 29.12.2025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blPrEx/>
        <w:trPr>
          <w:trHeight w:val="1755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2.2.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spacing w:line="240" w:lineRule="auto"/>
              <w:widowControl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Контрольное событие 10.</w:t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687"/>
              <w:ind w:hanging="27"/>
              <w:spacing w:line="240" w:lineRule="auto"/>
              <w:widowControl/>
            </w:pPr>
            <w:r>
              <w:rPr>
                <w:i/>
                <w:sz w:val="22"/>
                <w:szCs w:val="22"/>
              </w:rPr>
              <w:t xml:space="preserve">Биологическая продукция для искусственного осеменения сельскохозяйственными товаропроизводителями, приобретена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И.М.Каменецкая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29.12.2025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blPrEx/>
        <w:trPr>
          <w:trHeight w:val="1052"/>
        </w:trPr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3.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Организация и подготовка документов на награждение передовиков производства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И.М.Каменецкая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56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eastAsia="Cambria" w:cs="Times New Roman"/>
              </w:rPr>
            </w:pPr>
            <w:r>
              <w:rPr>
                <w:rFonts w:ascii="Times New Roman" w:hAnsi="Times New Roman" w:eastAsia="Cambria" w:cs="Times New Roman"/>
              </w:rPr>
            </w:r>
            <w:r>
              <w:rPr>
                <w:rFonts w:ascii="Times New Roman" w:hAnsi="Times New Roman" w:eastAsia="Cambria" w:cs="Times New Roman"/>
              </w:rPr>
            </w:r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</w:tr>
      <w:tr>
        <w:tblPrEx/>
        <w:trPr>
          <w:trHeight w:val="915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3.1.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spacing w:line="240" w:lineRule="auto"/>
              <w:widowControl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Контрольное событие 11.</w:t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616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i/>
              </w:rPr>
              <w:t xml:space="preserve">Документы для награждения передовиков производства представлены в министерство сельского хозяйства Ставропольского края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И.М.Каменецкая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до 30.09.2025</w:t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blPrEx/>
        <w:trPr>
          <w:trHeight w:val="2895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3.2.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spacing w:line="240" w:lineRule="auto"/>
              <w:widowControl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Контрольное событие 12.</w:t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616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i/>
              </w:rPr>
              <w:t xml:space="preserve">Награды Ставропольского края и министерства сельского хозяйства Ставропольского края вручены на совещании по подведению итогов районного соревнования по организованному проведению уборки зерновых культур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И.М.Каменецкая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до 29.12.2025</w:t>
            </w: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blPrEx/>
        <w:trPr>
          <w:trHeight w:val="1410"/>
        </w:trPr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4.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Оказание консультационной и методической помощи сельскохозяйственным товаропроизводителям 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И.М.Каменецкая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56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eastAsia="Cambria" w:cs="Times New Roman"/>
              </w:rPr>
            </w:pPr>
            <w:r>
              <w:rPr>
                <w:rFonts w:ascii="Times New Roman" w:hAnsi="Times New Roman" w:eastAsia="Cambria" w:cs="Times New Roman"/>
              </w:rPr>
            </w:r>
            <w:r>
              <w:rPr>
                <w:rFonts w:ascii="Times New Roman" w:hAnsi="Times New Roman" w:eastAsia="Cambria" w:cs="Times New Roman"/>
              </w:rPr>
            </w:r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</w:tr>
      <w:tr>
        <w:tblPrEx/>
        <w:trPr>
          <w:trHeight w:val="1815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4.1.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spacing w:line="240" w:lineRule="auto"/>
              <w:widowControl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Контрольное событие13.</w:t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616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i/>
              </w:rPr>
              <w:t xml:space="preserve">Информационные письма  в адрес руководителей сельскохозяйственных организаций, направлены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И.М.Каменецкая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56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до 28.03.2025; 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до 27.06.2025; 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до 30.09.2025; 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до 29.12.2025 (по мере необходимос ти)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blPrEx/>
        <w:trPr>
          <w:trHeight w:val="2165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4.2.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spacing w:line="240" w:lineRule="auto"/>
              <w:widowControl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Контрольное событие 14.</w:t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616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i/>
              </w:rPr>
              <w:t xml:space="preserve">Обучающие семинары для специалистов сельскохозяйственных организаций и глав крестьянских (фермерских) хозяйств, проведены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И.М.Каменецкая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до 28.03.2025; 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до 27.06.2025; 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до 30.09.2025; 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до 29.12.2025 (по мере необходимос ти)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blPrEx/>
        <w:trPr>
          <w:trHeight w:val="28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4.3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spacing w:line="240" w:lineRule="auto"/>
              <w:widowControl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Контрольное событие 15.</w:t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616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i/>
              </w:rPr>
              <w:t xml:space="preserve">Участие специалистов отдела сельского хозяйства, сельскохозяйственных организаций и глав крестьянских (фермерских) хозяйств в краевых выставках, семинарах, совещаниях, обеспечено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И.М.Каменецкая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до 28.03.2025; 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до 27.06.2025; 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до 30.09.2025; 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до 29.12.2025 (по мере необходимос ти)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blPrEx/>
        <w:trPr>
          <w:trHeight w:val="1191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 xml:space="preserve">II.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spacing w:line="240" w:lineRule="auto"/>
              <w:widowControl/>
            </w:pPr>
            <w:r>
              <w:rPr>
                <w:b/>
                <w:bCs/>
                <w:sz w:val="22"/>
                <w:szCs w:val="22"/>
              </w:rPr>
              <w:t xml:space="preserve">Подпрограмма «Охрана окружающей среды»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И.М.Каменецкая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56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357,39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347,39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0,00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0,00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0,00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0,00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>
          <w:trHeight w:val="900"/>
        </w:trPr>
        <w:tc>
          <w:tcPr>
            <w:shd w:val="clear" w:color="auto" w:fill="eeeeee"/>
            <w:tcBorders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5.</w:t>
            </w:r>
            <w:r/>
          </w:p>
        </w:tc>
        <w:tc>
          <w:tcPr>
            <w:shd w:val="clear" w:color="auto" w:fill="eeeeee"/>
            <w:tcBorders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spacing w:line="240" w:lineRule="auto"/>
              <w:widowControl/>
            </w:pPr>
            <w:r>
              <w:rPr>
                <w:sz w:val="22"/>
                <w:szCs w:val="22"/>
              </w:rPr>
              <w:t xml:space="preserve">Снижение антропогенной нагрузки на окружающую среду</w:t>
            </w:r>
            <w:r/>
          </w:p>
        </w:tc>
        <w:tc>
          <w:tcPr>
            <w:shd w:val="clear" w:color="auto" w:fill="eeeeee"/>
            <w:tcBorders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И.М.Каменецкая</w:t>
            </w:r>
            <w:r/>
          </w:p>
        </w:tc>
        <w:tc>
          <w:tcPr>
            <w:shd w:val="clear" w:color="auto" w:fill="eeeeee"/>
            <w:tcBorders>
              <w:left w:val="single" w:color="000000" w:sz="6" w:space="0"/>
              <w:bottom w:val="single" w:color="000000" w:sz="6" w:space="0"/>
            </w:tcBorders>
            <w:tcW w:w="1456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eeeeee"/>
            <w:tcBorders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</w:tr>
      <w:tr>
        <w:tblPrEx/>
        <w:trPr>
          <w:trHeight w:val="1704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5.1.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spacing w:line="240" w:lineRule="auto"/>
              <w:widowControl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Контрольное событие 16.</w:t>
            </w:r>
            <w:r>
              <w:rPr>
                <w:i/>
                <w:iCs/>
                <w:sz w:val="22"/>
                <w:szCs w:val="22"/>
              </w:rPr>
            </w:r>
          </w:p>
          <w:p>
            <w:pPr>
              <w:pStyle w:val="687"/>
              <w:ind w:hanging="27"/>
              <w:spacing w:line="240" w:lineRule="auto"/>
              <w:widowControl/>
            </w:pPr>
            <w:r>
              <w:rPr>
                <w:i/>
                <w:iCs/>
                <w:sz w:val="22"/>
                <w:szCs w:val="22"/>
              </w:rPr>
              <w:t xml:space="preserve">Выявление и ликвидация стихийных свалок на территории Петровского муниципального округа, проведено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И.М.Каменецкая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до 27.06.2025;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до 29.12.2025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blPrEx/>
        <w:trPr>
          <w:trHeight w:val="1980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5.2.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spacing w:line="240" w:lineRule="auto"/>
              <w:widowControl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Контрольное событие 17.</w:t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687"/>
              <w:ind w:hanging="27"/>
              <w:spacing w:line="240" w:lineRule="auto"/>
              <w:widowControl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Мониторинг хозяйствующих </w:t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687"/>
              <w:ind w:hanging="27"/>
              <w:spacing w:line="240" w:lineRule="auto"/>
              <w:widowControl/>
            </w:pPr>
            <w:r>
              <w:rPr>
                <w:i/>
                <w:sz w:val="22"/>
                <w:szCs w:val="22"/>
              </w:rPr>
              <w:t xml:space="preserve">субъектов, оказывающих негативное воздействие на окружающую среду проведен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И.М.Каменецкая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29.12.2025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blPrEx/>
        <w:trPr>
          <w:trHeight w:val="1200"/>
        </w:trPr>
        <w:tc>
          <w:tcPr>
            <w:shd w:val="clear" w:color="auto" w:fill="eeeeee"/>
            <w:tcBorders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6.</w:t>
            </w:r>
            <w:r/>
          </w:p>
        </w:tc>
        <w:tc>
          <w:tcPr>
            <w:shd w:val="clear" w:color="auto" w:fill="eeeeee"/>
            <w:tcBorders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spacing w:line="240" w:lineRule="auto"/>
              <w:widowControl/>
            </w:pPr>
            <w:r>
              <w:rPr>
                <w:sz w:val="22"/>
                <w:szCs w:val="22"/>
              </w:rPr>
              <w:t xml:space="preserve">Стабилизация гидрологической обстановки на территории округа </w:t>
            </w:r>
            <w:r/>
          </w:p>
        </w:tc>
        <w:tc>
          <w:tcPr>
            <w:shd w:val="clear" w:color="auto" w:fill="eeeeee"/>
            <w:tcBorders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И.М.Каменецкая</w:t>
            </w:r>
            <w:r/>
          </w:p>
        </w:tc>
        <w:tc>
          <w:tcPr>
            <w:shd w:val="clear" w:color="auto" w:fill="eeeeee"/>
            <w:tcBorders>
              <w:left w:val="single" w:color="000000" w:sz="6" w:space="0"/>
              <w:bottom w:val="single" w:color="000000" w:sz="6" w:space="0"/>
            </w:tcBorders>
            <w:tcW w:w="1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eeeeee"/>
            <w:tcBorders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</w:tr>
      <w:tr>
        <w:tblPrEx/>
        <w:trPr>
          <w:trHeight w:val="2670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6.1.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spacing w:line="240" w:lineRule="auto"/>
              <w:widowControl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Контрольное событие 18.</w:t>
            </w:r>
            <w:r>
              <w:rPr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687"/>
              <w:ind w:hanging="27"/>
              <w:spacing w:line="240" w:lineRule="auto"/>
              <w:widowControl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Обеспечение чистоты береговых полос водных объектов общего пользования, расположенных на территории Петровского муниципального округа Ставропольского края, выполнено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И.М.Каменецкая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до 27.06.2025;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до 30.09.2025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blPrEx/>
        <w:trPr>
          <w:trHeight w:val="3218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6.2.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spacing w:line="240" w:lineRule="auto"/>
              <w:widowControl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Контрольное событие 19.</w:t>
            </w:r>
            <w:r>
              <w:rPr>
                <w:i/>
                <w:iCs/>
                <w:color w:val="000000"/>
                <w:sz w:val="22"/>
                <w:szCs w:val="22"/>
              </w:rPr>
            </w:r>
            <w:r>
              <w:rPr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687"/>
              <w:ind w:hanging="27"/>
              <w:spacing w:line="240" w:lineRule="auto"/>
              <w:widowControl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Мониторинг водных объектов на наличие, отсутствие предупреждающих и запрещающих знаков, в местах не пригодных для организованного отдыха людей в соответствии с Правилами охраны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жизни людей на водных объектах, проведен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И.М.Каменецкая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до 27.06.2025;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до 29.12.2025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blPrEx/>
        <w:trPr>
          <w:trHeight w:val="1410"/>
        </w:trPr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7.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spacing w:line="240" w:lineRule="auto"/>
              <w:widowControl/>
            </w:pPr>
            <w:r>
              <w:rPr>
                <w:sz w:val="22"/>
                <w:szCs w:val="22"/>
              </w:rPr>
              <w:t xml:space="preserve">Формирование системы экологического воспитания населения округа по вопросам обращения с отходами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И.М.Каменецкая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</w:tr>
      <w:tr>
        <w:tblPrEx/>
        <w:trPr>
          <w:trHeight w:val="2040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7.1.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spacing w:line="240" w:lineRule="auto"/>
              <w:widowControl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Контрольное событие 20.</w:t>
            </w:r>
            <w:r>
              <w:rPr>
                <w:i/>
                <w:color w:val="000000"/>
                <w:sz w:val="22"/>
                <w:szCs w:val="22"/>
              </w:rPr>
            </w:r>
          </w:p>
          <w:p>
            <w:pPr>
              <w:pStyle w:val="687"/>
              <w:ind w:hanging="27"/>
              <w:spacing w:line="240" w:lineRule="auto"/>
              <w:widowControl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Экологические акции и экологические </w:t>
            </w:r>
            <w:r>
              <w:rPr>
                <w:i/>
                <w:color w:val="000000"/>
                <w:sz w:val="22"/>
                <w:szCs w:val="22"/>
              </w:rPr>
            </w:r>
          </w:p>
          <w:p>
            <w:pPr>
              <w:pStyle w:val="687"/>
              <w:ind w:hanging="27"/>
              <w:spacing w:line="240" w:lineRule="auto"/>
              <w:widowControl/>
            </w:pPr>
            <w:r>
              <w:rPr>
                <w:i/>
                <w:color w:val="000000"/>
                <w:sz w:val="22"/>
                <w:szCs w:val="22"/>
              </w:rPr>
              <w:t xml:space="preserve">субботники, направленные на сохранение окружающей среды, с участием различных возрастных групп населения, проведены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И.М.Каменецкая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до 27.06.2025;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до 29.12.2025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blPrEx/>
        <w:trPr>
          <w:trHeight w:val="3061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7.2.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spacing w:line="240" w:lineRule="auto"/>
              <w:widowControl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Контрольное событие 21.</w:t>
            </w:r>
            <w:r>
              <w:rPr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687"/>
              <w:ind w:hanging="27"/>
              <w:spacing w:line="240" w:lineRule="auto"/>
              <w:widowControl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Экологическое воспитание и просвещение детей и подростков в рамках деятельности Светлоградского регионального общероссийского </w:t>
            </w:r>
            <w:r>
              <w:rPr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687"/>
              <w:ind w:hanging="27"/>
              <w:spacing w:line="240" w:lineRule="auto"/>
              <w:widowControl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детского движения «Зеленая планета», обеспечено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И.М.Каменецкая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до 27.06.2025;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до 29.12.2025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blPrEx/>
        <w:trPr>
          <w:trHeight w:val="1025"/>
        </w:trPr>
        <w:tc>
          <w:tcPr>
            <w:shd w:val="clear" w:color="auto" w:fill="eeeeee"/>
            <w:tcBorders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8.</w:t>
            </w:r>
            <w:r/>
          </w:p>
        </w:tc>
        <w:tc>
          <w:tcPr>
            <w:shd w:val="clear" w:color="auto" w:fill="eeeeee"/>
            <w:tcBorders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spacing w:line="240" w:lineRule="auto"/>
              <w:widowControl/>
            </w:pPr>
            <w:r>
              <w:rPr>
                <w:color w:val="000000"/>
                <w:sz w:val="22"/>
                <w:szCs w:val="22"/>
              </w:rPr>
              <w:t xml:space="preserve">Ликвидация мест несанкционированного  размещения отходов</w:t>
            </w:r>
            <w:r/>
          </w:p>
        </w:tc>
        <w:tc>
          <w:tcPr>
            <w:shd w:val="clear" w:color="auto" w:fill="eeeeee"/>
            <w:tcBorders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И.М.Каменецкая</w:t>
            </w:r>
            <w:r/>
          </w:p>
        </w:tc>
        <w:tc>
          <w:tcPr>
            <w:shd w:val="clear" w:color="auto" w:fill="eeeeee"/>
            <w:tcBorders>
              <w:left w:val="single" w:color="000000" w:sz="6" w:space="0"/>
              <w:bottom w:val="single" w:color="000000" w:sz="6" w:space="0"/>
            </w:tcBorders>
            <w:tcW w:w="1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eeeeee"/>
            <w:tcBorders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rFonts w:ascii="Times New Roman" w:hAnsi="Times New Roman" w:cs="Times New Roman"/>
              </w:rPr>
              <w:t xml:space="preserve">357,39</w:t>
            </w:r>
            <w:r/>
          </w:p>
        </w:tc>
        <w:tc>
          <w:tcPr>
            <w:shd w:val="clear" w:color="auto" w:fill="eeeeee"/>
            <w:tcBorders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rFonts w:ascii="Times New Roman" w:hAnsi="Times New Roman" w:cs="Times New Roman"/>
              </w:rPr>
              <w:t xml:space="preserve">347,39</w:t>
            </w:r>
            <w:r/>
          </w:p>
        </w:tc>
        <w:tc>
          <w:tcPr>
            <w:shd w:val="clear" w:color="auto" w:fill="eeeeee"/>
            <w:tcBorders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rFonts w:ascii="Times New Roman" w:hAnsi="Times New Roman" w:cs="Times New Roman"/>
              </w:rPr>
              <w:t xml:space="preserve">10,00</w:t>
            </w:r>
            <w:r/>
          </w:p>
        </w:tc>
        <w:tc>
          <w:tcPr>
            <w:shd w:val="clear" w:color="auto" w:fill="eeeeee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</w:tr>
      <w:tr>
        <w:tblPrEx/>
        <w:trPr>
          <w:trHeight w:val="1815"/>
        </w:trPr>
        <w:tc>
          <w:tcPr>
            <w:tcBorders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8.1.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spacing w:line="240" w:lineRule="auto"/>
              <w:widowControl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Контрольное событие 22</w:t>
            </w:r>
            <w:r>
              <w:rPr>
                <w:i/>
                <w:color w:val="000000"/>
                <w:sz w:val="22"/>
                <w:szCs w:val="22"/>
              </w:rPr>
            </w:r>
          </w:p>
          <w:p>
            <w:pPr>
              <w:pStyle w:val="687"/>
              <w:ind w:hanging="27"/>
              <w:spacing w:line="240" w:lineRule="auto"/>
              <w:widowControl/>
            </w:pPr>
            <w:r>
              <w:rPr>
                <w:i/>
                <w:color w:val="000000"/>
                <w:sz w:val="22"/>
                <w:szCs w:val="22"/>
              </w:rPr>
              <w:t xml:space="preserve">Участие в организации деятельности по сбору и транспортированию твердых коммунальных отходов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И.М.Каменецкая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1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до 27.06.2025;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до 29.12.2025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994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</w:tcBorders>
            <w:tcW w:w="100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</w:tcBorders>
            <w:tcW w:w="1378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</w:tcBorders>
            <w:tcW w:w="112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</w:tcBorders>
            <w:tcW w:w="102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blPrEx/>
        <w:trPr>
          <w:trHeight w:val="4260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spacing w:line="240" w:lineRule="auto"/>
              <w:widowControl/>
              <w:rPr>
                <w:b/>
                <w:bCs/>
                <w:sz w:val="22"/>
                <w:szCs w:val="22"/>
              </w:rPr>
            </w:pPr>
            <w:r>
              <w:rPr>
                <w:rFonts w:eastAsia="Cambria"/>
                <w:b/>
                <w:sz w:val="22"/>
                <w:szCs w:val="22"/>
              </w:rPr>
              <w:t xml:space="preserve">Подпрограмма </w:t>
            </w:r>
            <w:r>
              <w:rPr>
                <w:rFonts w:eastAsia="Cambria"/>
                <w:b/>
                <w:bCs/>
                <w:sz w:val="22"/>
                <w:szCs w:val="22"/>
              </w:rPr>
              <w:t xml:space="preserve">«</w:t>
            </w:r>
            <w:r>
              <w:rPr>
                <w:b/>
                <w:bCs/>
                <w:sz w:val="22"/>
                <w:szCs w:val="22"/>
              </w:rPr>
              <w:t xml:space="preserve">Обеспечение реализации 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687"/>
              <w:ind w:hanging="27"/>
              <w:spacing w:line="240" w:lineRule="auto"/>
              <w:widowControl/>
            </w:pPr>
            <w:r>
              <w:rPr>
                <w:b/>
                <w:bCs/>
                <w:sz w:val="22"/>
                <w:szCs w:val="22"/>
              </w:rPr>
              <w:t xml:space="preserve">программы Петровского муниципального округа Ставропольского края «Развитие сельского хозяйства</w:t>
            </w:r>
            <w:r>
              <w:rPr>
                <w:rFonts w:eastAsia="Cambria"/>
                <w:b/>
                <w:bCs/>
                <w:sz w:val="22"/>
                <w:szCs w:val="22"/>
              </w:rPr>
              <w:t xml:space="preserve">» и общепрограммные мероприятия» муниципальной программы Петровского муниципального округа Ставропольского края «Развитие сельского хозяйства»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И.М.Каменецкая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56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</w:r>
            <w:r>
              <w:rPr>
                <w:rFonts w:ascii="Times New Roman" w:hAnsi="Times New Roman" w:cs="Times New Roman"/>
                <w:bCs/>
                <w:i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6238,29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3637,97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2600,32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0,00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0,00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0,00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1710"/>
        </w:trPr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9.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spacing w:line="240" w:lineRule="auto"/>
              <w:widowControl/>
            </w:pPr>
            <w:r>
              <w:rPr>
                <w:sz w:val="22"/>
                <w:szCs w:val="22"/>
              </w:rPr>
              <w:t xml:space="preserve">Обеспечение деятельности по реализации программы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И.М.Каменецкая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56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color w:val="000000"/>
              </w:rPr>
              <w:t xml:space="preserve">6238,29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color w:val="000000"/>
              </w:rPr>
              <w:t xml:space="preserve">3637,97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color w:val="000000"/>
              </w:rPr>
              <w:t xml:space="preserve">2600,32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  <w:tc>
          <w:tcPr>
            <w:shd w:val="clear" w:color="auto" w:fill="eeeee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</w:rPr>
              <w:t xml:space="preserve">0,00</w:t>
            </w:r>
            <w:r/>
          </w:p>
        </w:tc>
      </w:tr>
      <w:tr>
        <w:tblPrEx/>
        <w:trPr>
          <w:trHeight w:val="2505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9.1.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spacing w:line="240" w:lineRule="auto"/>
              <w:widowControl/>
              <w:rPr>
                <w:rFonts w:eastAsia="Cambria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Контрольное событие 23.</w:t>
            </w:r>
            <w:r>
              <w:rPr>
                <w:rFonts w:eastAsia="Cambria"/>
                <w:i/>
                <w:sz w:val="22"/>
                <w:szCs w:val="22"/>
              </w:rPr>
            </w:r>
            <w:r>
              <w:rPr>
                <w:rFonts w:eastAsia="Cambria"/>
                <w:i/>
                <w:sz w:val="22"/>
                <w:szCs w:val="22"/>
              </w:rPr>
            </w:r>
          </w:p>
          <w:p>
            <w:pPr>
              <w:pStyle w:val="616"/>
              <w:jc w:val="both"/>
              <w:spacing w:after="0" w:line="240" w:lineRule="auto"/>
            </w:pPr>
            <w:r>
              <w:rPr>
                <w:rFonts w:ascii="Times New Roman" w:hAnsi="Times New Roman" w:eastAsia="Cambria" w:cs="Times New Roman"/>
                <w:i/>
              </w:rPr>
              <w:t xml:space="preserve">Оплата труда специалистов отдела сельского хозяйства, произведена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И.М.Каменецкая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до:</w:t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20.01.2025,</w:t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05.02.2025,</w:t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20.02.2025,</w:t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05.03.2025,</w:t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20.03.2025,</w:t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04.04.2025,</w:t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18.04.2025,</w:t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53.05.2025,</w:t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20.05.2025,</w:t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05.06.2025,</w:t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20.06.2025,</w:t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04.07.2025,</w:t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18.07.2025,</w:t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05.08.2025,</w:t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20.08.2025,</w:t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05.09.2025,</w:t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19.09.2025,</w:t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03.10.2025,</w:t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20.10.2025,</w:t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05.11.2025,</w:t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20.11.2025,</w:t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05.12.2025,</w:t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19.12.2025.</w:t>
            </w:r>
            <w:r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  <w:tr>
        <w:tblPrEx/>
        <w:trPr>
          <w:trHeight w:val="1274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570" w:type="dxa"/>
            <w:vAlign w:val="top"/>
            <w:textDirection w:val="lrTb"/>
            <w:noWrap w:val="false"/>
          </w:tcPr>
          <w:p>
            <w:pPr>
              <w:pStyle w:val="685"/>
              <w:ind w:left="0"/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9.2.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687"/>
              <w:ind w:hanging="27"/>
              <w:spacing w:line="240" w:lineRule="auto"/>
              <w:widowControl/>
              <w:rPr>
                <w:rFonts w:eastAsia="Cambria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Контрольное событие 24.</w:t>
            </w:r>
            <w:r>
              <w:rPr>
                <w:rFonts w:eastAsia="Cambria"/>
                <w:i/>
                <w:sz w:val="22"/>
                <w:szCs w:val="22"/>
              </w:rPr>
            </w:r>
            <w:r>
              <w:rPr>
                <w:rFonts w:eastAsia="Cambria"/>
                <w:i/>
                <w:sz w:val="22"/>
                <w:szCs w:val="22"/>
              </w:rPr>
            </w:r>
          </w:p>
          <w:p>
            <w:pPr>
              <w:pStyle w:val="616"/>
              <w:jc w:val="both"/>
              <w:spacing w:after="0" w:line="240" w:lineRule="auto"/>
            </w:pPr>
            <w:r>
              <w:rPr>
                <w:rFonts w:ascii="Times New Roman" w:hAnsi="Times New Roman" w:eastAsia="Cambria" w:cs="Times New Roman"/>
                <w:i/>
              </w:rPr>
              <w:t xml:space="preserve">Приобретены расходные материалы и обновлено программное обеспечение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начальника отдела сельского хозяйства и охраны окружающей среды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И.М.Каменецкая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до 29.12.2025 (по мере необходимости)</w:t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616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Х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</w:tc>
      </w:tr>
    </w:tbl>
    <w:p>
      <w:pPr>
        <w:pStyle w:val="616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16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spacing w:after="0" w:line="240" w:lineRule="exac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spacing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  <w:tab/>
        <w:tab/>
        <w:tab/>
        <w:tab/>
        <w:tab/>
        <w:tab/>
        <w:t xml:space="preserve">                                                                             </w:t>
        <w:tab/>
        <w:t xml:space="preserve">         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Ю.В.Петрич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sectPr>
      <w:footnotePr/>
      <w:endnotePr/>
      <w:type w:val="nextPage"/>
      <w:pgSz w:w="16838" w:h="11906" w:orient="landscape"/>
      <w:pgMar w:top="1418" w:right="567" w:bottom="1134" w:left="198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imes New Roman">
    <w:panose1 w:val="02020603050405020304"/>
  </w:font>
  <w:font w:name="Courier New">
    <w:panose1 w:val="02070309020205020404"/>
  </w:font>
  <w:font w:name="Droid Sans Fallback">
    <w:panose1 w:val="020B0502000000000001"/>
  </w:font>
  <w:font w:name="Droid Sans Devanagari">
    <w:panose1 w:val="020B0606030804020204"/>
  </w:font>
  <w:font w:name="DejaVu Sans">
    <w:panose1 w:val="020B0603030804020204"/>
  </w:font>
  <w:font w:name="MS Mincho">
    <w:panose1 w:val="02020603050405090304"/>
  </w:font>
  <w:font w:name="Tahoma">
    <w:panose1 w:val="020B06040305040402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200" w:line="276" w:lineRule="auto"/>
    </w:pPr>
    <w:rPr>
      <w:rFonts w:ascii="Calibri" w:hAnsi="Calibri" w:cs="Calibri"/>
      <w:sz w:val="22"/>
      <w:szCs w:val="22"/>
      <w:lang w:val="ru-RU" w:eastAsia="zh-CN" w:bidi="ar-SA"/>
    </w:rPr>
  </w:style>
  <w:style w:type="character" w:styleId="617">
    <w:name w:val="Основной шрифт абзаца"/>
    <w:next w:val="617"/>
    <w:link w:val="616"/>
    <w:uiPriority w:val="1"/>
    <w:semiHidden/>
    <w:unhideWhenUsed/>
  </w:style>
  <w:style w:type="table" w:styleId="618">
    <w:name w:val="Обычная таблица"/>
    <w:next w:val="618"/>
    <w:link w:val="616"/>
    <w:uiPriority w:val="99"/>
    <w:semiHidden/>
    <w:unhideWhenUsed/>
    <w:tblPr/>
  </w:style>
  <w:style w:type="numbering" w:styleId="619">
    <w:name w:val="Нет списка"/>
    <w:next w:val="619"/>
    <w:link w:val="616"/>
    <w:uiPriority w:val="99"/>
    <w:semiHidden/>
    <w:unhideWhenUsed/>
  </w:style>
  <w:style w:type="character" w:styleId="620">
    <w:name w:val="Основной шрифт абзаца10"/>
    <w:next w:val="620"/>
    <w:link w:val="616"/>
  </w:style>
  <w:style w:type="character" w:styleId="621">
    <w:name w:val="Основной шрифт абзаца9"/>
    <w:next w:val="621"/>
    <w:link w:val="616"/>
  </w:style>
  <w:style w:type="character" w:styleId="622">
    <w:name w:val="Основной шрифт абзаца8"/>
    <w:next w:val="622"/>
    <w:link w:val="616"/>
  </w:style>
  <w:style w:type="character" w:styleId="623">
    <w:name w:val="Основной шрифт абзаца7"/>
    <w:next w:val="623"/>
    <w:link w:val="616"/>
  </w:style>
  <w:style w:type="character" w:styleId="624">
    <w:name w:val="Основной шрифт абзаца6"/>
    <w:next w:val="624"/>
    <w:link w:val="616"/>
  </w:style>
  <w:style w:type="character" w:styleId="625">
    <w:name w:val="Основной шрифт абзаца5"/>
    <w:next w:val="625"/>
    <w:link w:val="616"/>
  </w:style>
  <w:style w:type="character" w:styleId="626">
    <w:name w:val="Основной шрифт абзаца4"/>
    <w:next w:val="626"/>
    <w:link w:val="616"/>
  </w:style>
  <w:style w:type="character" w:styleId="627">
    <w:name w:val="Основной шрифт абзаца3"/>
    <w:next w:val="627"/>
    <w:link w:val="616"/>
  </w:style>
  <w:style w:type="character" w:styleId="628">
    <w:name w:val="Основной шрифт абзаца2"/>
    <w:next w:val="628"/>
    <w:link w:val="616"/>
  </w:style>
  <w:style w:type="character" w:styleId="629">
    <w:name w:val="WW8Num1z0"/>
    <w:next w:val="629"/>
    <w:link w:val="616"/>
  </w:style>
  <w:style w:type="character" w:styleId="630">
    <w:name w:val="WW8Num1z1"/>
    <w:next w:val="630"/>
    <w:link w:val="616"/>
  </w:style>
  <w:style w:type="character" w:styleId="631">
    <w:name w:val="WW8Num1z2"/>
    <w:next w:val="631"/>
    <w:link w:val="616"/>
  </w:style>
  <w:style w:type="character" w:styleId="632">
    <w:name w:val="WW8Num1z3"/>
    <w:next w:val="632"/>
    <w:link w:val="616"/>
  </w:style>
  <w:style w:type="character" w:styleId="633">
    <w:name w:val="WW8Num1z4"/>
    <w:next w:val="633"/>
    <w:link w:val="616"/>
  </w:style>
  <w:style w:type="character" w:styleId="634">
    <w:name w:val="WW8Num1z5"/>
    <w:next w:val="634"/>
    <w:link w:val="616"/>
  </w:style>
  <w:style w:type="character" w:styleId="635">
    <w:name w:val="WW8Num1z6"/>
    <w:next w:val="635"/>
    <w:link w:val="616"/>
  </w:style>
  <w:style w:type="character" w:styleId="636">
    <w:name w:val="WW8Num1z7"/>
    <w:next w:val="636"/>
    <w:link w:val="616"/>
  </w:style>
  <w:style w:type="character" w:styleId="637">
    <w:name w:val="WW8Num1z8"/>
    <w:next w:val="637"/>
    <w:link w:val="616"/>
  </w:style>
  <w:style w:type="character" w:styleId="638">
    <w:name w:val="WW8Num2z0"/>
    <w:next w:val="638"/>
    <w:link w:val="616"/>
  </w:style>
  <w:style w:type="character" w:styleId="639">
    <w:name w:val="WW8Num2z1"/>
    <w:next w:val="639"/>
    <w:link w:val="616"/>
  </w:style>
  <w:style w:type="character" w:styleId="640">
    <w:name w:val="WW8Num2z2"/>
    <w:next w:val="640"/>
    <w:link w:val="616"/>
  </w:style>
  <w:style w:type="character" w:styleId="641">
    <w:name w:val="WW8Num2z3"/>
    <w:next w:val="641"/>
    <w:link w:val="616"/>
  </w:style>
  <w:style w:type="character" w:styleId="642">
    <w:name w:val="WW8Num2z4"/>
    <w:next w:val="642"/>
    <w:link w:val="616"/>
  </w:style>
  <w:style w:type="character" w:styleId="643">
    <w:name w:val="WW8Num2z5"/>
    <w:next w:val="643"/>
    <w:link w:val="616"/>
  </w:style>
  <w:style w:type="character" w:styleId="644">
    <w:name w:val="WW8Num2z6"/>
    <w:next w:val="644"/>
    <w:link w:val="616"/>
  </w:style>
  <w:style w:type="character" w:styleId="645">
    <w:name w:val="WW8Num2z7"/>
    <w:next w:val="645"/>
    <w:link w:val="616"/>
  </w:style>
  <w:style w:type="character" w:styleId="646">
    <w:name w:val="WW8Num2z8"/>
    <w:next w:val="646"/>
    <w:link w:val="616"/>
  </w:style>
  <w:style w:type="character" w:styleId="647">
    <w:name w:val="WW8Num3z0"/>
    <w:next w:val="647"/>
    <w:link w:val="616"/>
  </w:style>
  <w:style w:type="character" w:styleId="648">
    <w:name w:val="WW8Num3z1"/>
    <w:next w:val="648"/>
    <w:link w:val="616"/>
  </w:style>
  <w:style w:type="character" w:styleId="649">
    <w:name w:val="WW8Num3z2"/>
    <w:next w:val="649"/>
    <w:link w:val="616"/>
  </w:style>
  <w:style w:type="character" w:styleId="650">
    <w:name w:val="WW8Num3z3"/>
    <w:next w:val="650"/>
    <w:link w:val="616"/>
  </w:style>
  <w:style w:type="character" w:styleId="651">
    <w:name w:val="WW8Num3z4"/>
    <w:next w:val="651"/>
    <w:link w:val="616"/>
  </w:style>
  <w:style w:type="character" w:styleId="652">
    <w:name w:val="WW8Num3z5"/>
    <w:next w:val="652"/>
    <w:link w:val="616"/>
  </w:style>
  <w:style w:type="character" w:styleId="653">
    <w:name w:val="WW8Num3z6"/>
    <w:next w:val="653"/>
    <w:link w:val="616"/>
  </w:style>
  <w:style w:type="character" w:styleId="654">
    <w:name w:val="WW8Num3z7"/>
    <w:next w:val="654"/>
    <w:link w:val="616"/>
  </w:style>
  <w:style w:type="character" w:styleId="655">
    <w:name w:val="WW8Num3z8"/>
    <w:next w:val="655"/>
    <w:link w:val="616"/>
  </w:style>
  <w:style w:type="character" w:styleId="656">
    <w:name w:val="Основной шрифт абзаца1"/>
    <w:next w:val="656"/>
    <w:link w:val="616"/>
  </w:style>
  <w:style w:type="character" w:styleId="657">
    <w:name w:val="Верхний колонтитул Знак"/>
    <w:next w:val="657"/>
    <w:link w:val="616"/>
    <w:rPr>
      <w:sz w:val="22"/>
      <w:szCs w:val="22"/>
    </w:rPr>
  </w:style>
  <w:style w:type="character" w:styleId="658">
    <w:name w:val="Нижний колонтитул Знак"/>
    <w:next w:val="658"/>
    <w:link w:val="616"/>
    <w:rPr>
      <w:sz w:val="22"/>
      <w:szCs w:val="22"/>
    </w:rPr>
  </w:style>
  <w:style w:type="character" w:styleId="659">
    <w:name w:val="Текст выноски Знак"/>
    <w:next w:val="659"/>
    <w:link w:val="616"/>
    <w:rPr>
      <w:rFonts w:ascii="Tahoma" w:hAnsi="Tahoma" w:cs="Tahoma"/>
      <w:sz w:val="16"/>
      <w:szCs w:val="16"/>
    </w:rPr>
  </w:style>
  <w:style w:type="paragraph" w:styleId="660">
    <w:name w:val="Заголовок"/>
    <w:basedOn w:val="616"/>
    <w:next w:val="661"/>
    <w:link w:val="616"/>
    <w:pPr>
      <w:keepNext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661">
    <w:name w:val="Основной текст"/>
    <w:basedOn w:val="616"/>
    <w:next w:val="661"/>
    <w:link w:val="616"/>
    <w:pPr>
      <w:spacing w:before="0" w:after="140" w:line="276" w:lineRule="auto"/>
    </w:pPr>
  </w:style>
  <w:style w:type="paragraph" w:styleId="662">
    <w:name w:val="Список"/>
    <w:basedOn w:val="661"/>
    <w:next w:val="662"/>
    <w:link w:val="616"/>
    <w:rPr>
      <w:rFonts w:cs="Droid Sans Devanagari"/>
    </w:rPr>
  </w:style>
  <w:style w:type="paragraph" w:styleId="663">
    <w:name w:val="Название объекта"/>
    <w:basedOn w:val="616"/>
    <w:next w:val="663"/>
    <w:link w:val="616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64">
    <w:name w:val="Указатель10"/>
    <w:basedOn w:val="616"/>
    <w:next w:val="664"/>
    <w:link w:val="616"/>
    <w:pPr>
      <w:suppressLineNumbers/>
    </w:pPr>
    <w:rPr>
      <w:rFonts w:cs="Droid Sans Devanagari"/>
    </w:rPr>
  </w:style>
  <w:style w:type="paragraph" w:styleId="665">
    <w:name w:val="Название объекта9"/>
    <w:basedOn w:val="616"/>
    <w:next w:val="665"/>
    <w:link w:val="616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66">
    <w:name w:val="Указатель9"/>
    <w:basedOn w:val="616"/>
    <w:next w:val="666"/>
    <w:link w:val="616"/>
    <w:pPr>
      <w:suppressLineNumbers/>
    </w:pPr>
    <w:rPr>
      <w:rFonts w:cs="Droid Sans Devanagari"/>
    </w:rPr>
  </w:style>
  <w:style w:type="paragraph" w:styleId="667">
    <w:name w:val="Название объекта8"/>
    <w:basedOn w:val="616"/>
    <w:next w:val="667"/>
    <w:link w:val="616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68">
    <w:name w:val="Указатель8"/>
    <w:basedOn w:val="616"/>
    <w:next w:val="668"/>
    <w:link w:val="616"/>
    <w:pPr>
      <w:suppressLineNumbers/>
    </w:pPr>
    <w:rPr>
      <w:rFonts w:cs="Droid Sans Devanagari"/>
    </w:rPr>
  </w:style>
  <w:style w:type="paragraph" w:styleId="669">
    <w:name w:val="Название объекта7"/>
    <w:basedOn w:val="616"/>
    <w:next w:val="669"/>
    <w:link w:val="616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70">
    <w:name w:val="Указатель7"/>
    <w:basedOn w:val="616"/>
    <w:next w:val="670"/>
    <w:link w:val="616"/>
    <w:pPr>
      <w:suppressLineNumbers/>
    </w:pPr>
    <w:rPr>
      <w:rFonts w:cs="Droid Sans Devanagari"/>
    </w:rPr>
  </w:style>
  <w:style w:type="paragraph" w:styleId="671">
    <w:name w:val="Название объекта6"/>
    <w:basedOn w:val="616"/>
    <w:next w:val="671"/>
    <w:link w:val="616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72">
    <w:name w:val="Указатель6"/>
    <w:basedOn w:val="616"/>
    <w:next w:val="672"/>
    <w:link w:val="616"/>
    <w:pPr>
      <w:suppressLineNumbers/>
    </w:pPr>
    <w:rPr>
      <w:rFonts w:cs="Droid Sans Devanagari"/>
    </w:rPr>
  </w:style>
  <w:style w:type="paragraph" w:styleId="673">
    <w:name w:val="Название объекта5"/>
    <w:basedOn w:val="616"/>
    <w:next w:val="673"/>
    <w:link w:val="616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74">
    <w:name w:val="Указатель5"/>
    <w:basedOn w:val="616"/>
    <w:next w:val="674"/>
    <w:link w:val="616"/>
    <w:pPr>
      <w:suppressLineNumbers/>
    </w:pPr>
    <w:rPr>
      <w:rFonts w:cs="Droid Sans Devanagari"/>
    </w:rPr>
  </w:style>
  <w:style w:type="paragraph" w:styleId="675">
    <w:name w:val="Название объекта4"/>
    <w:basedOn w:val="616"/>
    <w:next w:val="675"/>
    <w:link w:val="616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76">
    <w:name w:val="Указатель4"/>
    <w:basedOn w:val="616"/>
    <w:next w:val="676"/>
    <w:link w:val="616"/>
    <w:pPr>
      <w:suppressLineNumbers/>
    </w:pPr>
    <w:rPr>
      <w:rFonts w:cs="Droid Sans Devanagari"/>
    </w:rPr>
  </w:style>
  <w:style w:type="paragraph" w:styleId="677">
    <w:name w:val="Название объекта3"/>
    <w:basedOn w:val="616"/>
    <w:next w:val="677"/>
    <w:link w:val="616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78">
    <w:name w:val="Указатель3"/>
    <w:basedOn w:val="616"/>
    <w:next w:val="678"/>
    <w:link w:val="616"/>
    <w:pPr>
      <w:suppressLineNumbers/>
    </w:pPr>
    <w:rPr>
      <w:rFonts w:cs="Droid Sans Devanagari"/>
    </w:rPr>
  </w:style>
  <w:style w:type="paragraph" w:styleId="679">
    <w:name w:val="Название объекта2"/>
    <w:basedOn w:val="616"/>
    <w:next w:val="679"/>
    <w:link w:val="616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80">
    <w:name w:val="Указатель2"/>
    <w:basedOn w:val="616"/>
    <w:next w:val="680"/>
    <w:link w:val="616"/>
    <w:pPr>
      <w:suppressLineNumbers/>
    </w:pPr>
    <w:rPr>
      <w:rFonts w:cs="Droid Sans Devanagari"/>
    </w:rPr>
  </w:style>
  <w:style w:type="paragraph" w:styleId="681">
    <w:name w:val="Название объекта1"/>
    <w:basedOn w:val="616"/>
    <w:next w:val="681"/>
    <w:link w:val="616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82">
    <w:name w:val="Указатель1"/>
    <w:basedOn w:val="616"/>
    <w:next w:val="682"/>
    <w:link w:val="616"/>
    <w:pPr>
      <w:suppressLineNumbers/>
    </w:pPr>
    <w:rPr>
      <w:rFonts w:cs="Droid Sans Devanagari"/>
    </w:rPr>
  </w:style>
  <w:style w:type="paragraph" w:styleId="683">
    <w:name w:val="ConsNonformat"/>
    <w:next w:val="683"/>
    <w:link w:val="616"/>
    <w:pPr>
      <w:ind w:right="19772"/>
      <w:widowControl w:val="off"/>
    </w:pPr>
    <w:rPr>
      <w:rFonts w:ascii="Courier New" w:hAnsi="Courier New" w:cs="Courier New"/>
      <w:lang w:val="ru-RU" w:eastAsia="zh-CN" w:bidi="ar-SA"/>
    </w:rPr>
  </w:style>
  <w:style w:type="paragraph" w:styleId="684">
    <w:name w:val="Без интервала"/>
    <w:next w:val="684"/>
    <w:link w:val="616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685">
    <w:name w:val="Абзац списка"/>
    <w:basedOn w:val="616"/>
    <w:next w:val="685"/>
    <w:link w:val="616"/>
    <w:qFormat/>
    <w:pPr>
      <w:contextualSpacing/>
      <w:ind w:left="720" w:right="0" w:firstLine="0"/>
      <w:spacing w:before="0" w:after="200"/>
    </w:pPr>
  </w:style>
  <w:style w:type="paragraph" w:styleId="686">
    <w:name w:val="ConsPlusNormal"/>
    <w:next w:val="686"/>
    <w:link w:val="616"/>
    <w:pPr>
      <w:widowControl w:val="off"/>
    </w:pPr>
    <w:rPr>
      <w:sz w:val="24"/>
      <w:lang w:val="ru-RU" w:eastAsia="zh-CN" w:bidi="ar-SA"/>
    </w:rPr>
  </w:style>
  <w:style w:type="paragraph" w:styleId="687">
    <w:name w:val="Style5"/>
    <w:basedOn w:val="616"/>
    <w:next w:val="687"/>
    <w:link w:val="616"/>
    <w:pPr>
      <w:jc w:val="both"/>
      <w:spacing w:before="0" w:after="0" w:line="322" w:lineRule="exact"/>
      <w:widowControl w:val="off"/>
    </w:pPr>
    <w:rPr>
      <w:rFonts w:ascii="Times New Roman" w:hAnsi="Times New Roman" w:cs="Times New Roman"/>
      <w:sz w:val="24"/>
      <w:szCs w:val="24"/>
    </w:rPr>
  </w:style>
  <w:style w:type="paragraph" w:styleId="688">
    <w:name w:val="Style6"/>
    <w:basedOn w:val="616"/>
    <w:next w:val="688"/>
    <w:link w:val="616"/>
    <w:pPr>
      <w:ind w:left="0" w:right="0" w:firstLine="715"/>
      <w:jc w:val="both"/>
      <w:spacing w:before="0" w:after="0" w:line="325" w:lineRule="exact"/>
      <w:widowControl w:val="off"/>
    </w:pPr>
    <w:rPr>
      <w:rFonts w:ascii="Times New Roman" w:hAnsi="Times New Roman" w:cs="Times New Roman"/>
      <w:sz w:val="24"/>
      <w:szCs w:val="24"/>
    </w:rPr>
  </w:style>
  <w:style w:type="paragraph" w:styleId="689">
    <w:name w:val="Верхний и нижний колонтитулы"/>
    <w:basedOn w:val="616"/>
    <w:next w:val="689"/>
    <w:link w:val="616"/>
    <w:pPr>
      <w:tabs>
        <w:tab w:val="center" w:pos="4819" w:leader="none"/>
        <w:tab w:val="right" w:pos="9638" w:leader="none"/>
      </w:tabs>
      <w:suppressLineNumbers/>
    </w:pPr>
  </w:style>
  <w:style w:type="paragraph" w:styleId="690">
    <w:name w:val="Колонтитул"/>
    <w:basedOn w:val="616"/>
    <w:next w:val="690"/>
    <w:link w:val="616"/>
    <w:pPr>
      <w:tabs>
        <w:tab w:val="center" w:pos="4819" w:leader="none"/>
        <w:tab w:val="right" w:pos="9638" w:leader="none"/>
      </w:tabs>
      <w:suppressLineNumbers/>
    </w:pPr>
  </w:style>
  <w:style w:type="paragraph" w:styleId="691">
    <w:name w:val="Верхний колонтитул"/>
    <w:basedOn w:val="616"/>
    <w:next w:val="691"/>
    <w:link w:val="616"/>
    <w:pPr>
      <w:tabs>
        <w:tab w:val="center" w:pos="4677" w:leader="none"/>
        <w:tab w:val="right" w:pos="9355" w:leader="none"/>
      </w:tabs>
    </w:pPr>
  </w:style>
  <w:style w:type="paragraph" w:styleId="692">
    <w:name w:val="Нижний колонтитул"/>
    <w:basedOn w:val="616"/>
    <w:next w:val="692"/>
    <w:link w:val="616"/>
    <w:pPr>
      <w:tabs>
        <w:tab w:val="center" w:pos="4677" w:leader="none"/>
        <w:tab w:val="right" w:pos="9355" w:leader="none"/>
      </w:tabs>
    </w:pPr>
  </w:style>
  <w:style w:type="paragraph" w:styleId="693">
    <w:name w:val="Текст выноски"/>
    <w:basedOn w:val="616"/>
    <w:next w:val="693"/>
    <w:link w:val="61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94">
    <w:name w:val="Содержимое таблицы"/>
    <w:basedOn w:val="616"/>
    <w:next w:val="694"/>
    <w:link w:val="616"/>
    <w:pPr>
      <w:suppressLineNumbers/>
    </w:pPr>
  </w:style>
  <w:style w:type="paragraph" w:styleId="695">
    <w:name w:val="Заголовок таблицы"/>
    <w:basedOn w:val="694"/>
    <w:next w:val="695"/>
    <w:link w:val="616"/>
    <w:pPr>
      <w:jc w:val="center"/>
      <w:suppressLineNumbers/>
    </w:pPr>
    <w:rPr>
      <w:b/>
      <w:bCs/>
    </w:rPr>
  </w:style>
  <w:style w:type="paragraph" w:styleId="696">
    <w:name w:val="Обычный (веб)"/>
    <w:basedOn w:val="616"/>
    <w:next w:val="696"/>
    <w:link w:val="616"/>
    <w:pPr>
      <w:spacing w:before="280" w:after="142"/>
    </w:pPr>
    <w:rPr>
      <w:rFonts w:ascii="Times New Roman" w:hAnsi="Times New Roman" w:cs="Times New Roman"/>
      <w:sz w:val="24"/>
      <w:szCs w:val="24"/>
    </w:rPr>
  </w:style>
  <w:style w:type="paragraph" w:styleId="697">
    <w:name w:val="western"/>
    <w:basedOn w:val="616"/>
    <w:next w:val="697"/>
    <w:link w:val="616"/>
    <w:pPr>
      <w:jc w:val="both"/>
      <w:spacing w:before="280" w:after="119" w:line="240" w:lineRule="auto"/>
    </w:pPr>
    <w:rPr>
      <w:rFonts w:cs="Times New Roman"/>
      <w:color w:val="000000"/>
    </w:rPr>
  </w:style>
  <w:style w:type="paragraph" w:styleId="698">
    <w:name w:val="Обычный1"/>
    <w:next w:val="698"/>
    <w:link w:val="616"/>
    <w:pPr>
      <w:ind w:firstLine="720"/>
      <w:jc w:val="both"/>
      <w:spacing w:after="200" w:line="276" w:lineRule="auto"/>
      <w:tabs>
        <w:tab w:val="left" w:pos="709" w:leader="none"/>
      </w:tabs>
    </w:pPr>
    <w:rPr>
      <w:rFonts w:eastAsia="DejaVu Sans" w:cs="Calibri"/>
      <w:sz w:val="28"/>
      <w:szCs w:val="28"/>
      <w:lang w:val="ru-RU" w:eastAsia="en-US" w:bidi="ar-SA"/>
    </w:rPr>
  </w:style>
  <w:style w:type="character" w:styleId="9368" w:default="1">
    <w:name w:val="Default Paragraph Font"/>
    <w:uiPriority w:val="1"/>
    <w:semiHidden/>
    <w:unhideWhenUsed/>
  </w:style>
  <w:style w:type="numbering" w:styleId="9369" w:default="1">
    <w:name w:val="No List"/>
    <w:uiPriority w:val="99"/>
    <w:semiHidden/>
    <w:unhideWhenUsed/>
  </w:style>
  <w:style w:type="table" w:styleId="93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revision>3</cp:revision>
  <dcterms:created xsi:type="dcterms:W3CDTF">2024-12-03T07:28:00Z</dcterms:created>
  <dcterms:modified xsi:type="dcterms:W3CDTF">2024-12-05T12:24:35Z</dcterms:modified>
  <cp:version>917504</cp:version>
</cp:coreProperties>
</file>