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szCs w:val="32"/>
          <w:lang w:val="ru-RU"/>
        </w:rPr>
      </w:pPr>
      <w:r>
        <w:rPr>
          <w:szCs w:val="32"/>
          <w:lang w:val="ru-RU"/>
        </w:rPr>
        <w:t xml:space="preserve">ПРОЕКТ</w:t>
      </w:r>
      <w:r>
        <w:rPr>
          <w:szCs w:val="32"/>
          <w:lang w:val="ru-RU"/>
        </w:rPr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jc w:val="center"/>
      </w:pP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bookmarkStart w:id="0" w:name="_Hlk177996175"/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</w:t>
      </w:r>
      <w:r>
        <w:rPr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, утвержденное постановлением администрации Петровского муниципального округа Ставрополь</w:t>
      </w:r>
      <w:r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 xml:space="preserve">от 04 июня 2024 г. № 957</w:t>
      </w:r>
      <w:bookmarkEnd w:id="0"/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, утвержденное постановлением администрации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етровского муниципального округа Ста</w:t>
      </w:r>
      <w:r>
        <w:rPr>
          <w:sz w:val="28"/>
          <w:szCs w:val="28"/>
        </w:rPr>
        <w:t xml:space="preserve">вропольского края от 04 июня 2024 г. № 957 «</w:t>
      </w:r>
      <w:r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редакции от 15 октября 2024 г.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1827), изложив </w:t>
      </w:r>
      <w:r>
        <w:rPr>
          <w:sz w:val="28"/>
          <w:szCs w:val="28"/>
        </w:rPr>
        <w:t xml:space="preserve">его в прилагаемой </w:t>
      </w:r>
      <w:r>
        <w:rPr>
          <w:sz w:val="28"/>
          <w:szCs w:val="28"/>
        </w:rPr>
        <w:t xml:space="preserve">редакции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 xml:space="preserve">постановление администрации Петровского 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15 октября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1827 «</w:t>
      </w:r>
      <w:r>
        <w:rPr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муниципальных служащих аппарата администрации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етровского муниципального округа Ставропольского края и органов администрации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етровского муниципального округа Ставропольского края и урегулированию конфликта интересов, утвержденное постановлением администрации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етровского муниципального округа Ставропольского края от 04 июня 2024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957</w:t>
      </w:r>
      <w:r>
        <w:rPr>
          <w:sz w:val="28"/>
          <w:szCs w:val="28"/>
        </w:rPr>
        <w:t xml:space="preserve">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</w:t>
      </w:r>
      <w:r>
        <w:rPr>
          <w:sz w:val="28"/>
          <w:szCs w:val="28"/>
        </w:rPr>
        <w:t xml:space="preserve">лнением настоящего постановления возложить на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 Петрича Ю.В.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 xml:space="preserve">муниципа</w:t>
      </w:r>
      <w:r>
        <w:rPr>
          <w:sz w:val="28"/>
          <w:szCs w:val="28"/>
        </w:rPr>
        <w:t xml:space="preserve">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276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</w:t>
      </w:r>
      <w:r>
        <w:rPr>
          <w:color w:val="ffffff"/>
          <w:sz w:val="28"/>
          <w:szCs w:val="28"/>
        </w:rPr>
        <w:t xml:space="preserve">заместитель главы</w:t>
      </w:r>
      <w:r>
        <w:rPr>
          <w:color w:val="ffffff"/>
          <w:sz w:val="28"/>
          <w:szCs w:val="28"/>
        </w:rPr>
        <w:t xml:space="preserve">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</w:t>
      </w:r>
    </w:p>
    <w:p>
      <w:pPr>
        <w:pStyle w:val="Normal"/>
        <w:tabs>
          <w:tab w:val="left" w:pos="0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 xml:space="preserve"> </w:t>
      </w:r>
      <w:r>
        <w:rPr>
          <w:color w:val="ffffff"/>
          <w:sz w:val="28"/>
          <w:szCs w:val="28"/>
        </w:rPr>
        <w:t xml:space="preserve">            </w:t>
      </w:r>
      <w:r>
        <w:rPr>
          <w:color w:val="ffffff"/>
          <w:sz w:val="28"/>
          <w:szCs w:val="28"/>
        </w:rPr>
        <w:t xml:space="preserve">        </w:t>
      </w:r>
      <w:r>
        <w:rPr>
          <w:color w:val="ffffff"/>
          <w:sz w:val="28"/>
          <w:szCs w:val="28"/>
        </w:rPr>
        <w:t xml:space="preserve">Ю.В.Петрич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</w:t>
      </w:r>
      <w:r>
        <w:rPr>
          <w:color w:val="ffffff"/>
          <w:sz w:val="28"/>
          <w:szCs w:val="28"/>
        </w:rPr>
        <w:t xml:space="preserve">                                  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О</w:t>
      </w:r>
      <w:r>
        <w:rPr>
          <w:color w:val="ffffff"/>
          <w:sz w:val="28"/>
          <w:szCs w:val="28"/>
        </w:rPr>
        <w:t xml:space="preserve">.А.Нехаенко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по организацион</w:t>
      </w:r>
      <w:r>
        <w:rPr>
          <w:color w:val="ffffff"/>
          <w:sz w:val="28"/>
          <w:szCs w:val="28"/>
        </w:rPr>
        <w:t xml:space="preserve">но-кадровым вопросам и профилактике коррупционных правонарушений администрации Петровского </w:t>
      </w:r>
      <w:r>
        <w:rPr>
          <w:color w:val="ffffff"/>
          <w:sz w:val="28"/>
          <w:szCs w:val="28"/>
        </w:rPr>
        <w:t xml:space="preserve">муниципально</w:t>
      </w:r>
      <w:r>
        <w:rPr>
          <w:color w:val="ffffff"/>
          <w:sz w:val="28"/>
          <w:szCs w:val="28"/>
        </w:rPr>
        <w:t xml:space="preserve">го</w:t>
      </w:r>
      <w:r>
        <w:rPr>
          <w:color w:val="ffffff"/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color w:val="ffffff"/>
          <w:sz w:val="28"/>
          <w:szCs w:val="28"/>
        </w:rPr>
        <w:t xml:space="preserve">              Е.И.Лавриненко</w:t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июня 2024 № 957</w:t>
      </w:r>
    </w:p>
    <w:p>
      <w:pPr>
        <w:pStyle w:val="Normal"/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(в редакции от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</w:p>
    <w:p>
      <w:pPr>
        <w:pStyle w:val="Normal"/>
        <w:tabs>
          <w:tab w:val="left" w:pos="9169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</w:t>
      </w:r>
      <w:r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по</w:t>
      </w:r>
      <w:r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комиссия,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, аппарат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органы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), образуемой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</w:t>
      </w:r>
      <w:r>
        <w:rPr>
          <w:rFonts w:ascii="Times New Roman" w:hAnsi="Times New Roman" w:cs="Times New Roman"/>
          <w:sz w:val="28"/>
          <w:szCs w:val="28"/>
        </w:rPr>
        <w:t xml:space="preserve">тся Конст</w:t>
      </w:r>
      <w:r>
        <w:rPr>
          <w:rFonts w:ascii="Times New Roman" w:hAnsi="Times New Roman" w:cs="Times New Roman"/>
          <w:sz w:val="28"/>
          <w:szCs w:val="28"/>
        </w:rPr>
        <w:t xml:space="preserve">итуцией Российской Федерации, федеральными конституционными законами, федеральными законами, актами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актами Губернатора и Правительства Ставропольского края, настоящим Положением, а также актами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задачей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содействие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и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и запретов, треб</w:t>
      </w:r>
      <w:r>
        <w:rPr>
          <w:rFonts w:ascii="Times New Roman" w:hAnsi="Times New Roman" w:cs="Times New Roman"/>
          <w:sz w:val="28"/>
          <w:szCs w:val="28"/>
        </w:rPr>
        <w:t xml:space="preserve">ований о предотвращении или урегулировании конфликта интересов, исполнения обязанностей, установленных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(далее - требования к служебному поведению и (или) требования об урегулировании конфликта интересов);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аппарате администрации и органах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</w:t>
      </w:r>
      <w:r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аппарата администрации и органов администрации, </w:t>
      </w:r>
      <w:bookmarkStart w:id="1" w:name="_Hlk163488126"/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которых осуществляются администрацией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(далее – руководитель муниципального учреждения)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Петровского муниципального округа Ставропольского края (далее -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ация). Указанным актом утверждается состав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состав комиссии входят: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(председатель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(заместитель председателя комиссии), специалист отдела по организационно-кадровым вопросам и профилактике коррупционных правонарушений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администрации, определяемые главой Петровского муниципального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службой или иными сферами, соответствующими вопросам, рассматриваемым на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(далее соответственно - представители научных и образовательных организаций, научные 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общественного совета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общественный совет).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Глава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</w:t>
      </w:r>
      <w:r>
        <w:rPr>
          <w:rFonts w:ascii="Times New Roman" w:hAnsi="Times New Roman" w:cs="Times New Roman"/>
          <w:sz w:val="28"/>
          <w:szCs w:val="28"/>
        </w:rPr>
        <w:t xml:space="preserve">ая может принять решение о включении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ветеранов (пенсионеров)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или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 </w:t>
      </w: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  <w:t xml:space="preserve">ой общественной организации (далее - общественная организация ветеранов, иная общественная организация)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Лица, у</w:t>
      </w:r>
      <w:r>
        <w:rPr>
          <w:rFonts w:ascii="Times New Roman" w:hAnsi="Times New Roman" w:cs="Times New Roman"/>
          <w:sz w:val="28"/>
          <w:szCs w:val="28"/>
        </w:rPr>
        <w:t xml:space="preserve">казанные в подпункте «б» и «в»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пункте 8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включаются в состав комиссии в установленном порядке по согласованию с научными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советом, общественной организацией ветеранов, иной общественной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запроса</w:t>
      </w:r>
      <w:r>
        <w:rPr>
          <w:rFonts w:ascii="Times New Roman" w:hAnsi="Times New Roman" w:cs="Times New Roman"/>
          <w:sz w:val="28"/>
          <w:szCs w:val="28"/>
        </w:rPr>
        <w:t xml:space="preserve"> главы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 Согласование осуществляется в 10-дневный срок со дня получения запро</w:t>
      </w:r>
      <w:r>
        <w:rPr>
          <w:rFonts w:ascii="Times New Roman" w:hAnsi="Times New Roman" w:cs="Times New Roman"/>
          <w:sz w:val="28"/>
          <w:szCs w:val="28"/>
        </w:rPr>
        <w:t xml:space="preserve">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</w:t>
      </w:r>
      <w:r>
        <w:rPr>
          <w:rFonts w:ascii="Times New Roman" w:hAnsi="Times New Roman" w:cs="Times New Roman"/>
          <w:sz w:val="28"/>
          <w:szCs w:val="28"/>
        </w:rPr>
        <w:t xml:space="preserve">есов, который мог бы повлиять на принимаемые комиссией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 членов </w:t>
      </w:r>
      <w:r>
        <w:rPr>
          <w:rFonts w:ascii="Times New Roman" w:hAnsi="Times New Roman" w:cs="Times New Roman"/>
          <w:sz w:val="28"/>
          <w:szCs w:val="28"/>
        </w:rPr>
        <w:t xml:space="preserve">комиссии,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состава комис</w:t>
      </w:r>
      <w:r>
        <w:rPr>
          <w:rFonts w:ascii="Times New Roman" w:hAnsi="Times New Roman" w:cs="Times New Roman"/>
          <w:sz w:val="28"/>
          <w:szCs w:val="28"/>
        </w:rPr>
        <w:t xml:space="preserve">сии осуществляется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письменное заявление </w:t>
      </w:r>
      <w:r>
        <w:rPr>
          <w:sz w:val="28"/>
          <w:szCs w:val="28"/>
        </w:rPr>
        <w:t xml:space="preserve">члена комиссии об исключении его из состава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увольнение члена комиссии из органа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 по основаниям, </w:t>
      </w:r>
      <w:r>
        <w:rPr>
          <w:sz w:val="28"/>
          <w:szCs w:val="28"/>
        </w:rPr>
        <w:t xml:space="preserve">предусмотренным Федеральным законом от 02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25-ФЗ «О муниципальной службе в Российской Федерации»;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смерть (гибель) члена комиссии либо признание его безвестно отсутствующим или умершим решением суда, вступившим в законную силу;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 решение </w:t>
      </w:r>
      <w:r>
        <w:rPr>
          <w:sz w:val="28"/>
          <w:szCs w:val="28"/>
        </w:rPr>
        <w:t xml:space="preserve">главы Петровского муниципального округа Ставропольског</w:t>
      </w:r>
      <w:r>
        <w:rPr>
          <w:sz w:val="28"/>
          <w:szCs w:val="28"/>
        </w:rPr>
        <w:t xml:space="preserve">о края</w:t>
      </w:r>
      <w:r>
        <w:rPr>
          <w:sz w:val="28"/>
          <w:szCs w:val="28"/>
        </w:rPr>
        <w:t xml:space="preserve">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Члены </w:t>
      </w:r>
      <w:r>
        <w:rPr>
          <w:rFonts w:ascii="Times New Roman" w:hAnsi="Times New Roman" w:cs="Times New Roman"/>
          <w:sz w:val="28"/>
          <w:szCs w:val="28"/>
        </w:rPr>
        <w:t xml:space="preserve">комиссии, являющиеся представителями научных 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не могут </w:t>
      </w:r>
      <w:r>
        <w:rPr>
          <w:rFonts w:ascii="Times New Roman" w:hAnsi="Times New Roman" w:cs="Times New Roman"/>
          <w:sz w:val="28"/>
          <w:szCs w:val="28"/>
        </w:rPr>
        <w:t xml:space="preserve">быть включены в состав комиссии,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включенные подлежат исключению из состава комиссии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</w:t>
      </w:r>
      <w:r>
        <w:rPr>
          <w:sz w:val="28"/>
          <w:szCs w:val="28"/>
        </w:rPr>
        <w:t xml:space="preserve">удимости;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выход члена комиссии из гражданства Российской Федерации или приобретение гражданства дру</w:t>
      </w:r>
      <w:r>
        <w:rPr>
          <w:sz w:val="28"/>
          <w:szCs w:val="28"/>
        </w:rPr>
        <w:t xml:space="preserve">гого государства;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неявка члена комиссии на заседание комиссии более 3-х раз без уважительны</w:t>
      </w:r>
      <w:r>
        <w:rPr>
          <w:sz w:val="28"/>
          <w:szCs w:val="28"/>
        </w:rPr>
        <w:t xml:space="preserve">х причин;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увольнение члена комиссии из научной</w:t>
      </w:r>
      <w:r>
        <w:rPr>
          <w:sz w:val="28"/>
          <w:szCs w:val="28"/>
        </w:rPr>
        <w:t xml:space="preserve"> и образовательной</w:t>
      </w:r>
      <w:r>
        <w:rPr>
          <w:sz w:val="28"/>
          <w:szCs w:val="28"/>
        </w:rPr>
        <w:t xml:space="preserve"> организации, котор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рекомендовал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его для включения в состав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письменное заявление члена комиссии об исключении его из состава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смерть члена комиссии либо признание его безвестно от</w:t>
      </w:r>
      <w:r>
        <w:rPr>
          <w:sz w:val="28"/>
          <w:szCs w:val="28"/>
        </w:rPr>
        <w:t xml:space="preserve">сутствующим или умершим решением суда, вступившим в законную силу;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решение главы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 В заседаниях комиссии с правом совещательного голоса участвуют: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и (или) органе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ана</w:t>
      </w:r>
      <w:r>
        <w:rPr>
          <w:rFonts w:ascii="Times New Roman" w:hAnsi="Times New Roman" w:cs="Times New Roman"/>
          <w:sz w:val="28"/>
          <w:szCs w:val="28"/>
        </w:rPr>
        <w:t xml:space="preserve">логичные должности, замещаемой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служащим, в отношении которого комиссией рассматривается этот вопрос;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аппарате администрации и (или) органе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других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органов исполнительной в</w:t>
      </w:r>
      <w:r>
        <w:rPr>
          <w:rFonts w:ascii="Times New Roman" w:hAnsi="Times New Roman" w:cs="Times New Roman"/>
          <w:sz w:val="28"/>
          <w:szCs w:val="28"/>
        </w:rPr>
        <w:t xml:space="preserve">ласти Ставропольского края, государственных органов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которого комиссией рассматривается этот вопрос, или любого члена комиссии.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 председатель комиссии. В отсутствие председателя комиссии его обязанности исполняет заместитель председателя комиссии.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третей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общего числа членов комиссии. Проведение заседаний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службы в администрации,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без участия представителе</w:t>
      </w:r>
      <w:r>
        <w:rPr>
          <w:sz w:val="28"/>
          <w:szCs w:val="28"/>
        </w:rPr>
        <w:t xml:space="preserve">й научных и образовательных организаций,</w:t>
      </w:r>
      <w:r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 xml:space="preserve">недопустимо.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проведения заседания комиссии являются: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главой Пе</w:t>
      </w:r>
      <w:r>
        <w:rPr>
          <w:rFonts w:ascii="Times New Roman" w:hAnsi="Times New Roman" w:cs="Times New Roman"/>
          <w:sz w:val="28"/>
          <w:szCs w:val="28"/>
        </w:rPr>
        <w:t xml:space="preserve">тровского муниципального округа Ставропольского края или руководителем органа администрации в соответствии с под</w:t>
      </w:r>
      <w:r>
        <w:rPr>
          <w:rFonts w:ascii="Times New Roman" w:hAnsi="Times New Roman" w:cs="Times New Roman"/>
          <w:sz w:val="28"/>
          <w:szCs w:val="28"/>
        </w:rPr>
        <w:t xml:space="preserve">пунктом 4 пункта 24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администрацией, материалов проверки, свидетельствующих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«1»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</w:t>
      </w:r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в аппарат администрации, орган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аппарате администрации или органе администрации </w:t>
      </w:r>
      <w:r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службы, включенную в перечень должностей, утвержденный правовым актом</w:t>
      </w:r>
      <w:r>
        <w:rPr>
          <w:sz w:val="28"/>
          <w:szCs w:val="28"/>
        </w:rPr>
        <w:t xml:space="preserve"> администрации (далее - гражданин, замещавший должность муниципальной службы)</w:t>
      </w:r>
      <w:r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</w:t>
      </w:r>
      <w:r>
        <w:rPr>
          <w:sz w:val="28"/>
          <w:szCs w:val="28"/>
        </w:rPr>
        <w:t xml:space="preserve"> если отдельные функции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этой организацией вхо</w:t>
      </w:r>
      <w:r>
        <w:rPr>
          <w:sz w:val="28"/>
          <w:szCs w:val="28"/>
        </w:rPr>
        <w:t xml:space="preserve">дили в его должностные обязанности, до истечения двух лет со дня увольнения с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sz w:val="28"/>
          <w:szCs w:val="28"/>
        </w:rPr>
        <w:t xml:space="preserve">конфликту интересов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 xml:space="preserve">уга Ставропольского края, руководителя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</w:t>
      </w:r>
      <w:r>
        <w:rPr>
          <w:rFonts w:ascii="Times New Roman" w:hAnsi="Times New Roman" w:cs="Times New Roman"/>
          <w:sz w:val="28"/>
          <w:szCs w:val="28"/>
        </w:rPr>
        <w:t xml:space="preserve">ющееся обеспечения соблюдения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органе администрации мер по предупреждению коррупции;</w:t>
      </w:r>
    </w:p>
    <w:p>
      <w:pPr>
        <w:pStyle w:val="Normal"/>
        <w:ind w:firstLine="540"/>
        <w:jc w:val="both"/>
        <w:rPr>
          <w:sz w:val="28"/>
          <w:szCs w:val="28"/>
        </w:rPr>
      </w:pPr>
      <w:bookmarkStart w:id="2" w:name="_Hlk168299337"/>
      <w:r>
        <w:rPr>
          <w:sz w:val="28"/>
          <w:szCs w:val="28"/>
        </w:rPr>
        <w:t xml:space="preserve">г) представление главой Петровского муниципального округа Ставропольского края, руководителем органа администраци</w:t>
      </w:r>
      <w:r>
        <w:rPr>
          <w:sz w:val="28"/>
          <w:szCs w:val="28"/>
        </w:rPr>
        <w:t xml:space="preserve">и материалов проверки, свидетельствующих о представлении муниципальным служащим недостоверных или неполных сведе</w:t>
      </w:r>
      <w:r>
        <w:rPr>
          <w:sz w:val="28"/>
          <w:szCs w:val="28"/>
        </w:rPr>
        <w:t xml:space="preserve">ний, предусмотренных частью 1 статьи 3 Федерального закона </w:t>
      </w:r>
      <w:r>
        <w:rPr>
          <w:sz w:val="28"/>
          <w:szCs w:val="28"/>
        </w:rPr>
        <w:t xml:space="preserve">от 03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№</w:t>
      </w:r>
      <w:r>
        <w:rPr>
          <w:sz w:val="28"/>
          <w:szCs w:val="28"/>
        </w:rPr>
        <w:t xml:space="preserve"> 230-ФЗ </w:t>
      </w:r>
      <w:r>
        <w:rPr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 поступившее в соответствии с частью 4 статьи 12 </w:t>
      </w:r>
      <w:r>
        <w:rPr>
          <w:sz w:val="28"/>
          <w:szCs w:val="28"/>
        </w:rPr>
        <w:t xml:space="preserve">Федерального  закона от 25 декабря 2008 года № 273-ФЗ «О противодействии коррупции»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статье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64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Трудового кодекса Российской Федерации в аппарат админ</w:t>
      </w:r>
      <w:r>
        <w:rPr>
          <w:sz w:val="28"/>
          <w:szCs w:val="28"/>
        </w:rPr>
        <w:t xml:space="preserve">истрации, орган администрации уведомление организации о заключении с гражданином, замещавшим должность муниципал</w:t>
      </w:r>
      <w:r>
        <w:rPr>
          <w:sz w:val="28"/>
          <w:szCs w:val="28"/>
        </w:rPr>
        <w:t xml:space="preserve">ьной службы в аппарате администрации, органе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органе администрации, при условии, что указанному гражданину комиссией ранее было отказано</w:t>
      </w:r>
      <w:r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замещении на условиях трудового договора должности в организации и (или) выполнение в данной организации работы</w:t>
      </w:r>
      <w:r>
        <w:rPr>
          <w:bCs/>
          <w:sz w:val="28"/>
          <w:szCs w:val="28"/>
        </w:rPr>
        <w:t xml:space="preserve">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</w:t>
      </w:r>
      <w:r>
        <w:rPr>
          <w:bCs/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bookmarkEnd w:id="2"/>
      <w:r>
        <w:rPr>
          <w:bCs/>
          <w:sz w:val="28"/>
          <w:szCs w:val="28"/>
        </w:rPr>
        <w:t xml:space="preserve">е) уведомление муниципального служащего о возникновении не зависящих от него обстоятельств, пре</w:t>
      </w:r>
      <w:r>
        <w:rPr>
          <w:bCs/>
          <w:sz w:val="28"/>
          <w:szCs w:val="28"/>
        </w:rPr>
        <w:t xml:space="preserve">пятствующих соблюдению требований к служебному поведению и (или) требований об урегулировании конфликта интересо</w:t>
      </w:r>
      <w:r>
        <w:rPr>
          <w:bCs/>
          <w:sz w:val="28"/>
          <w:szCs w:val="28"/>
        </w:rPr>
        <w:t xml:space="preserve">в.</w:t>
      </w:r>
      <w:r>
        <w:rPr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20.</w:t>
      </w:r>
      <w:bookmarkStart w:id="3" w:name="Par0"/>
      <w:bookmarkEnd w:id="3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Обращение,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втором подпункта «б» пункта 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подается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гражданином, 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амещавшим должность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службы,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 администрации, в соответствующий орган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В таком обращении указываются: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</w:t>
      </w:r>
      <w:r>
        <w:rPr>
          <w:sz w:val="28"/>
          <w:szCs w:val="28"/>
        </w:rPr>
        <w:t xml:space="preserve">мя, отчество, дата рождения, адрес места жительства гражданина;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замещаемые гражданином должности в течение последних двух лет до дня увольнения с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наименование, местонахождение организации, характер ее 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должностные обязанности, исполняемые гражданином во время замещения им должности </w:t>
      </w:r>
      <w:r>
        <w:rPr>
          <w:sz w:val="28"/>
          <w:szCs w:val="28"/>
        </w:rPr>
        <w:t xml:space="preserve">муниципальной службы</w:t>
      </w:r>
      <w:r>
        <w:rPr>
          <w:sz w:val="28"/>
          <w:szCs w:val="28"/>
        </w:rPr>
        <w:t xml:space="preserve">, функции по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управлению в отношении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вид договора (трудовой, гражданско-правовой), предполагаемый срок его действия, сумма оплаты за вы</w:t>
      </w:r>
      <w:r>
        <w:rPr>
          <w:sz w:val="28"/>
          <w:szCs w:val="28"/>
        </w:rPr>
        <w:t xml:space="preserve">полнение (оказание) по договору работ (услуг)</w:t>
      </w:r>
      <w:r>
        <w:rPr>
          <w:sz w:val="28"/>
          <w:szCs w:val="28"/>
        </w:rPr>
        <w:t xml:space="preserve">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8299542"/>
      <w:r>
        <w:rPr>
          <w:rFonts w:ascii="Times New Roman" w:hAnsi="Times New Roman" w:cs="Times New Roman"/>
          <w:sz w:val="28"/>
          <w:szCs w:val="28"/>
        </w:rPr>
        <w:t xml:space="preserve">Лицами,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ветственными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аппарате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и соответствующих органах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указанного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consultantplus://offline/ref=765D48C174F80DF4BB02CE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6C08A9A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B3C6099F3E283B5C4C29E61CCB2FC6132269D69AA13EA03CF1F8035141DLBz2O </w:instrTex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абзаце втором подпункта «б» пункта 19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RLINK c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onsultantplus://offline/ref=765D48C174F80DF4BB02D0611EC5F5366593A4ED84B1C99DCA34CAE5A3313473DD29AC45LAz1O </w:instrTex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12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End w:id="4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antplus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://offline/ref=765D48C174F80DF4BB02CE6C08A9AB3C6099F3E283B5C4C29E61CCB2FC6132269D69AA13EA03CF1F8035141DLBz2O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втором подпункта «б» пункта 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может быть подано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служащим, планирующим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свое увольнение 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службы, и подлежит рассмотрению комиссией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соответствии с настоящим Положением.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5" w:name="_Hlk168299596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consultantplus://offline/ref=765D48C174F80DF4BB02CE6C08A9AB3C6099F3E283B5C4C29E61CCB2FC6132269D69AA13EA03CF1F80351510LBz3O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дпункт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 «д» пункта 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рассматривается в аппарате администрации, органе администрации лицами, ответственными за профилактику коррупционных и иных правонарушений,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котор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осуществля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мотивированного заключения о соблюдении гражданином, замещавшим должность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службы,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учетом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требований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consultantplus://offline/ref=765D48C174F80DF4BB02D0611EC5F5366593A4ED84B1C99DCA34CAE5A3313473DD29AC45LAz1O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статьи 12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Федерального  закона от 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2008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№ 273-Ф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противодействии коррупции»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End w:id="5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23.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подпункта «б»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 подпункте «е»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рассматрива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аппарате администрации, органе администрации лицами, ответственными за профилактику коррупционных и иных правонарушений,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котор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осуществля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мотивированных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заключени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рассмотрения так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24. При подготовке мотивированного заключения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рассмотрения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обращения, указанного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втором по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дпункта «б» пункта 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или уведомлений, указанных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четвертом подпункта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«б»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ERLINK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consultantplus://offline/ref=765D48C174F80DF4BB02CE6C08A9AB3C6099F3E283B5C4C29E61CCB2FC6132269D69AA13EA03CF1F80351512LBzCO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подпункт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«д»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пункта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лица, ответственные за профилактику коррупционных и иных правонарушений, в аппарате администрации, органе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имеют право проводить собеседование 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служащим или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гражданином, замещавшим должность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муниципальной службы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представившими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соответствующее обращение или уведомление, получать от них письменные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пояснен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глава Петровского муниципального округа Ставропольского края, руководитель органа администрации, может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направлять в установленном порядке запросы в органы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государственной власти Ставропольского края, органы местного самоуправления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муниципальных образовани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 Ставропольского края и заинтересованные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использовать государственную информационную систему в области противодействия коррупции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Посейдон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в том числе для направления запросов.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Обращение или уведомление, указанные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\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l Par43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 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первом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пункта,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 также заключение и другие материалы в течение 7 рабочих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 представляются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председателю комиссии. В случае направления запросов обращение или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уведомление, указанные в настоящем абзаце, а также заключение и другие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материалы представляются председателю комиссии в течение 45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Указанный срок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может быть продлен, но не более чем на 30 дней.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25. 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отивированные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ключения,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предусмотренные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пунктами 20, 22, 23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течение 7 рабочих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 представляются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председателю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должны содержать: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информацию, изложенную в обращении или уведомлении,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consultantplus://offline/ref=765D48C174F80DF4BB02CE6C08A9AB3C6099F3E283B5C4C29E61CCB2FC6132269D69AA13EA03CF1F80351513LBzDO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 втором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</w:instrText>
      </w:r>
      <w:r>
        <w:rPr>
          <w:color w:val="000000"/>
          <w:sz w:val="28"/>
          <w:szCs w:val="28"/>
        </w:rPr>
        <w:instrText xml:space="preserve">C08A9AB3C6099F3E283B5C4C29E61CCB2FC6132269D69AA13EA03CF1F80351513LBzCO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четвертом подпункта «б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consultantplus://offline/ref=765D48C174F80DF4BB02CE6C08A9AB3C6099F3E283B5C4C29E61CCB2FC6132269D69AA13EA03CF1F8035151CLBz5O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«д» </w:t>
      </w:r>
      <w:r>
        <w:rPr>
          <w:color w:val="000000"/>
          <w:sz w:val="28"/>
          <w:szCs w:val="28"/>
        </w:rPr>
        <w:t xml:space="preserve"> и «е» </w:t>
      </w:r>
      <w:r>
        <w:rPr>
          <w:color w:val="000000"/>
          <w:sz w:val="28"/>
          <w:szCs w:val="28"/>
        </w:rPr>
        <w:t xml:space="preserve">пункта 19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информацию, полученную от территориальных органов федеральных органов исполнительной власти, исполнительн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субъектов Российской Федерации, государственных органов </w:t>
      </w:r>
      <w:r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 xml:space="preserve">края, исполнительн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тавропольского края</w:t>
      </w:r>
      <w:r>
        <w:rPr>
          <w:sz w:val="28"/>
          <w:szCs w:val="28"/>
        </w:rPr>
        <w:t xml:space="preserve">, органов местного самоуправления, предприятий, учреждений, </w:t>
      </w:r>
      <w:r>
        <w:rPr>
          <w:sz w:val="28"/>
          <w:szCs w:val="28"/>
        </w:rPr>
        <w:t xml:space="preserve">организаций и общественных объединений на основании запросов;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в) мотивированный вывод по результатам предварительного рассмотрения обращени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или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указанных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consultantplus://offline/ref=765D48C174F80DF4BB02CE6C08A9AB3C6099F3E283B5C4C29E61CCB2FC6132269D69AA13EA03CF1F80351513LBzDO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абзацах втором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A13EA03CF1F80351513LBzCO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четвертом подпункта «б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consultantplus://offline/ref=765D48C174F80DF4BB02CE6C08A9AB3C6099F3E283B5C4C29E61CCB2FC6132269D69AA13EA03CF1F8035151CLBz5O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подпунктах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а также рекомендации принятия одного из решений в соответствии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пунктами 36, 3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 или иного решения.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Комиссия не рассматривает сообщения о преступлениях и административных правонарушениях, а также анонимные обращения, не проводит провер</w:t>
      </w:r>
      <w:r>
        <w:rPr>
          <w:sz w:val="28"/>
          <w:szCs w:val="28"/>
        </w:rPr>
        <w:t xml:space="preserve">ки по фактам нарушения служебной дисциплины.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 xml:space="preserve">10-дневный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комиссии. При этом дата заседания комиссии не может быть назначена позднее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>
        <w:rPr>
          <w:rFonts w:ascii="Times New Roman" w:hAnsi="Times New Roman" w:cs="Times New Roman"/>
          <w:sz w:val="28"/>
          <w:szCs w:val="28"/>
        </w:rPr>
        <w:t xml:space="preserve">оступления указанной информации, за исключением случаев, предусмотренных пунктами 28, 29 настоящего Положения;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</w:t>
      </w:r>
      <w:r>
        <w:rPr>
          <w:rFonts w:ascii="Times New Roman" w:hAnsi="Times New Roman" w:cs="Times New Roman"/>
          <w:sz w:val="28"/>
          <w:szCs w:val="28"/>
        </w:rPr>
        <w:t xml:space="preserve">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rFonts w:ascii="Times New Roman" w:hAnsi="Times New Roman" w:cs="Times New Roman"/>
          <w:sz w:val="28"/>
          <w:szCs w:val="28"/>
        </w:rPr>
        <w:t xml:space="preserve"> в аппарат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и с результатами ее проверки;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</w:t>
      </w:r>
      <w:r>
        <w:rPr>
          <w:rFonts w:ascii="Times New Roman" w:hAnsi="Times New Roman" w:cs="Times New Roman"/>
          <w:sz w:val="28"/>
          <w:szCs w:val="28"/>
        </w:rPr>
        <w:t xml:space="preserve">азанных в подпункте «б» пункта 15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</w:t>
      </w:r>
      <w:r>
        <w:rPr>
          <w:rFonts w:ascii="Times New Roman" w:hAnsi="Times New Roman" w:cs="Times New Roman"/>
          <w:sz w:val="28"/>
          <w:szCs w:val="28"/>
        </w:rPr>
        <w:t xml:space="preserve"> и о рассмотрении (об отказе в рассмотрении) в ходе заседания комиссии дополнительных материалов.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Заседание комиссии по рассмотрению заявлений, указанных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абзаце третьем подпункта «б» пункта 19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проводится не позднее одного месяца со дня истечения срока, установленного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редставления сведений о доходах, об имуществе и обязательствах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имущественного характера.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29.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подпункте «д» и «е» пункта 19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Положения, рассматривается на очередном (плановом) 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аседании комиссии.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администрации, органе администрации. О намерении лично присутствовать на заседании комиссии муниципальный служащий, руководитель муниципального учр</w:t>
      </w:r>
      <w:r>
        <w:rPr>
          <w:rFonts w:ascii="Times New Roman" w:hAnsi="Times New Roman" w:cs="Times New Roman"/>
          <w:sz w:val="28"/>
          <w:szCs w:val="28"/>
        </w:rPr>
        <w:t xml:space="preserve">еждения или гражданин, замещавший должность муниципальной службы, указывают в обращении, заявлении или уведомлении, представляемых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 и «е» пункта 19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замещавшего должность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sz w:val="28"/>
          <w:szCs w:val="28"/>
        </w:rPr>
        <w:t xml:space="preserve">подпунктами «б» и «е» пункта 19 </w:t>
      </w:r>
      <w:r>
        <w:rPr>
          <w:sz w:val="28"/>
          <w:szCs w:val="28"/>
        </w:rPr>
        <w:t xml:space="preserve">настоящего Положения, не </w:t>
      </w:r>
      <w:r>
        <w:rPr>
          <w:sz w:val="28"/>
          <w:szCs w:val="28"/>
        </w:rPr>
        <w:t xml:space="preserve">содержится указания о намерении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муниципального учреждения</w:t>
      </w:r>
      <w:r>
        <w:rPr>
          <w:sz w:val="28"/>
          <w:szCs w:val="28"/>
        </w:rPr>
        <w:t xml:space="preserve"> или гражданина</w:t>
      </w:r>
      <w:r>
        <w:rPr>
          <w:sz w:val="28"/>
          <w:szCs w:val="28"/>
        </w:rPr>
        <w:t xml:space="preserve">, замещавшего должность муниципальной службы,</w:t>
      </w:r>
      <w:r>
        <w:rPr>
          <w:sz w:val="28"/>
          <w:szCs w:val="28"/>
        </w:rPr>
        <w:t xml:space="preserve"> лично присутствовать на заседании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муниципального учреждения</w:t>
      </w:r>
      <w:r>
        <w:rPr>
          <w:sz w:val="28"/>
          <w:szCs w:val="28"/>
        </w:rPr>
        <w:t xml:space="preserve"> или гражданин</w:t>
      </w:r>
      <w:r>
        <w:rPr>
          <w:sz w:val="28"/>
          <w:szCs w:val="28"/>
        </w:rPr>
        <w:t xml:space="preserve">, замещавший должность муниципальной службы,</w:t>
      </w:r>
      <w:r>
        <w:rPr>
          <w:sz w:val="28"/>
          <w:szCs w:val="28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</w:t>
      </w:r>
      <w:r>
        <w:rPr>
          <w:rFonts w:ascii="Times New Roman" w:hAnsi="Times New Roman" w:cs="Times New Roman"/>
          <w:sz w:val="28"/>
          <w:szCs w:val="28"/>
        </w:rPr>
        <w:t xml:space="preserve">. На заседании комисси</w:t>
      </w:r>
      <w:r>
        <w:rPr>
          <w:rFonts w:ascii="Times New Roman" w:hAnsi="Times New Roman" w:cs="Times New Roman"/>
          <w:sz w:val="28"/>
          <w:szCs w:val="28"/>
        </w:rPr>
        <w:t xml:space="preserve">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или гражданина, замещавшего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(с их согласия)</w:t>
      </w:r>
      <w:r>
        <w:rPr>
          <w:rFonts w:ascii="Times New Roman" w:hAnsi="Times New Roman" w:cs="Times New Roman"/>
          <w:sz w:val="28"/>
          <w:szCs w:val="28"/>
        </w:rPr>
        <w:t xml:space="preserve"> и иных лиц,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материалы по существу вынесенных на данное заседание вопросов, а также дополнительные материалы.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подпункта «а» пункта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«1» пункта 1 Положения о проверке достоверности и полноты сведений, представляемых гражданами, претендующими на замещение должност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 администрации Петровского муниципального округа Ставропольского края требований к служебному поведению, утвержденного администрацией, являются достоверными и полными;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«1» пункта 1 Положения,</w:t>
      </w:r>
      <w:r>
        <w:rPr>
          <w:rFonts w:ascii="Times New Roman" w:hAnsi="Times New Roman" w:cs="Times New Roman"/>
          <w:sz w:val="28"/>
          <w:szCs w:val="28"/>
        </w:rPr>
        <w:t xml:space="preserve"> названного в подпункте «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муниципального округа Ставропольского края, либо руководителю органа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</w:t>
      </w:r>
      <w:r>
        <w:rPr>
          <w:rFonts w:ascii="Times New Roman" w:hAnsi="Times New Roman" w:cs="Times New Roman"/>
          <w:sz w:val="28"/>
          <w:szCs w:val="28"/>
        </w:rPr>
        <w:t xml:space="preserve"> третьем подпункта «а» пункта 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</w:t>
      </w:r>
      <w:r>
        <w:rPr>
          <w:rFonts w:ascii="Times New Roman" w:hAnsi="Times New Roman" w:cs="Times New Roman"/>
          <w:sz w:val="28"/>
          <w:szCs w:val="28"/>
        </w:rPr>
        <w:t xml:space="preserve">становить, что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</w:t>
      </w:r>
      <w:r>
        <w:rPr>
          <w:rFonts w:ascii="Times New Roman" w:hAnsi="Times New Roman" w:cs="Times New Roman"/>
          <w:sz w:val="28"/>
          <w:szCs w:val="28"/>
        </w:rPr>
        <w:t xml:space="preserve">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муниципального округа Ставропольского края, руководителю органа администрации соответственно, указать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</w:t>
      </w:r>
      <w:r>
        <w:rPr>
          <w:rFonts w:ascii="Times New Roman" w:hAnsi="Times New Roman" w:cs="Times New Roman"/>
          <w:sz w:val="28"/>
          <w:szCs w:val="28"/>
        </w:rPr>
        <w:t xml:space="preserve">ного в абзаце втором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</w:t>
      </w:r>
      <w:r>
        <w:rPr>
          <w:rFonts w:ascii="Times New Roman" w:hAnsi="Times New Roman" w:cs="Times New Roman"/>
          <w:sz w:val="28"/>
          <w:szCs w:val="28"/>
        </w:rPr>
        <w:t xml:space="preserve">ет одно из следующих 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дать гражданину согласие на </w:t>
      </w:r>
      <w:r>
        <w:rPr>
          <w:sz w:val="28"/>
          <w:szCs w:val="28"/>
        </w:rPr>
        <w:t xml:space="preserve">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</w:t>
      </w:r>
      <w:r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 xml:space="preserve">по муниципальному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этой организацией входили в его должностные (служебные) обязанности;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отказать гражданину </w:t>
      </w:r>
      <w:r>
        <w:rPr>
          <w:sz w:val="28"/>
          <w:szCs w:val="28"/>
        </w:rPr>
        <w:t xml:space="preserve">в замещении на условиях трудового</w:t>
      </w:r>
      <w:r>
        <w:rPr>
          <w:sz w:val="28"/>
          <w:szCs w:val="28"/>
        </w:rPr>
        <w:t xml:space="preserve">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</w:t>
      </w:r>
      <w:r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 xml:space="preserve">по муниципальному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этой организацией входили в его должностные (служебные) обязанности, и мотивировать свой отказ.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</w:t>
      </w:r>
      <w:r>
        <w:rPr>
          <w:rFonts w:ascii="Times New Roman" w:hAnsi="Times New Roman" w:cs="Times New Roman"/>
          <w:sz w:val="28"/>
          <w:szCs w:val="28"/>
        </w:rPr>
        <w:t xml:space="preserve"> третьем подпункта «б» пункта 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</w:t>
      </w:r>
      <w:r>
        <w:rPr>
          <w:rFonts w:ascii="Times New Roman" w:hAnsi="Times New Roman" w:cs="Times New Roman"/>
          <w:sz w:val="28"/>
          <w:szCs w:val="28"/>
        </w:rPr>
        <w:t xml:space="preserve">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руководителю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представлению указанных сведений;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</w:t>
      </w:r>
      <w:r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главе Петровского муниципального округа Ставропольского края, руководителю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 итогам рассмотрения вопроса, указанного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абзаце четвертом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должностных обязанностей конфликт интересов от</w:t>
      </w:r>
      <w:r>
        <w:rPr>
          <w:sz w:val="28"/>
          <w:szCs w:val="28"/>
        </w:rPr>
        <w:t xml:space="preserve">сутствует;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и (или) </w:t>
      </w:r>
      <w:r>
        <w:rPr>
          <w:sz w:val="28"/>
          <w:szCs w:val="28"/>
        </w:rPr>
        <w:t xml:space="preserve">соответственно главе Петровского муниципального округа Ставропольского края, руководителю органа администрации </w:t>
      </w:r>
      <w:r>
        <w:rPr>
          <w:sz w:val="28"/>
          <w:szCs w:val="28"/>
        </w:rPr>
        <w:t xml:space="preserve">принять меры по урегулированию конфликта интересов или по недопущению его возникновения;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муниципальный служащий</w:t>
      </w:r>
      <w:r>
        <w:rPr>
          <w:sz w:val="28"/>
          <w:szCs w:val="28"/>
        </w:rPr>
        <w:t xml:space="preserve"> не соблюдал требования об урегулиров</w:t>
      </w:r>
      <w:r>
        <w:rPr>
          <w:sz w:val="28"/>
          <w:szCs w:val="28"/>
        </w:rPr>
        <w:t xml:space="preserve">ании конфликта интересов. В этом случае комиссия рекомендует </w:t>
      </w:r>
      <w:r>
        <w:rPr>
          <w:sz w:val="28"/>
          <w:szCs w:val="28"/>
        </w:rPr>
        <w:t xml:space="preserve">главе Петровского муниципального округа Ставропольского края, руководителю органа администрации соответственно </w:t>
      </w:r>
      <w:r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конкретную меру ответственности.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«г» </w:t>
      </w:r>
      <w:r>
        <w:rPr>
          <w:rFonts w:ascii="Times New Roman" w:hAnsi="Times New Roman" w:cs="Times New Roman"/>
          <w:sz w:val="28"/>
          <w:szCs w:val="28"/>
        </w:rPr>
        <w:t xml:space="preserve">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consultantplus://offline/ref=B7E5A09</w:instrText>
      </w:r>
      <w:r>
        <w:rPr>
          <w:sz w:val="28"/>
          <w:szCs w:val="28"/>
        </w:rPr>
        <w:instrText xml:space="preserve">A41AAB3E50D3EFA1DEA64A541915A851445DB9FADF3086035ECDC8EE3152F67756DB3C3B3P961G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статьи 3 </w:t>
      </w:r>
      <w:r>
        <w:rPr>
          <w:sz w:val="28"/>
          <w:szCs w:val="28"/>
        </w:rPr>
        <w:t xml:space="preserve">Федерального закона от 03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 xml:space="preserve">, являются достоверными и полными;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consultantplus://offline/ref=B7E5A09A41AAB3E50D3EFA1DEA64A541915A851445DB9FADF3086035ECDC8EE3152F67756DB3C3B3P961G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татьи 3 </w:t>
      </w:r>
      <w:r>
        <w:rPr>
          <w:sz w:val="28"/>
          <w:szCs w:val="28"/>
        </w:rPr>
        <w:t xml:space="preserve">Федерального закона от 03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 xml:space="preserve">, являются недостоверными и (или) неполными. В этом случае комиссия рекомендует главе Петровского муниципального округа Ставропольского края, руководителю органа администрации соответственно,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</w:t>
      </w:r>
      <w:r>
        <w:rPr>
          <w:sz w:val="28"/>
          <w:szCs w:val="28"/>
        </w:rPr>
        <w:t xml:space="preserve">и, в органы прокуратуры и (или) иные государственные органы в соответствии с их компетенцией.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</w:t>
      </w:r>
      <w:r>
        <w:rPr>
          <w:color w:val="000000"/>
          <w:sz w:val="28"/>
          <w:szCs w:val="28"/>
        </w:rPr>
        <w:t xml:space="preserve">. По итогам рассмотрения вопроса, указанного в подпункте «е» пункта 19 настоящего Положения, комиссия принимает одно из следующих решений: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признать наличие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признать отсутствие причинн</w:t>
      </w:r>
      <w:r>
        <w:rPr>
          <w:color w:val="000000"/>
          <w:sz w:val="28"/>
          <w:szCs w:val="28"/>
        </w:rPr>
        <w:t xml:space="preserve">о-следственной связи между возникновением не зависящих от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урегулировании конфликта интересов.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итогам рассмотрения вопросов, предусмотренных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подпунктами «а», «б», «г»,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consultantplus://offline/ref=8D30BC52C9927E67104ECEF2378FB68CB9BCD36373317731ABACD72086FB12AB18984411C73BA1EF3ED24770d1o4H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«д»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пункта 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при наличии к тому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оснований ко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миссия может принять иное решение, чем это предусмотрено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пунктами 34 - 4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Положения. Основания и мотивы принятия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такого решения должны быть отражены в протоколе заседания комиссии.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итогам рассмотрения вопроса, предусмотренного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подпунктом «в» пункта 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соответствующее решение.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43. По итогам рассмотрения вопроса, указанного в подпункте «д»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 одно из следующих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дать гражданину согласие на</w:t>
      </w:r>
      <w:r>
        <w:rPr>
          <w:sz w:val="28"/>
          <w:szCs w:val="28"/>
        </w:rPr>
        <w:t xml:space="preserve">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</w:t>
      </w:r>
      <w:r>
        <w:rPr>
          <w:sz w:val="28"/>
          <w:szCs w:val="28"/>
        </w:rPr>
        <w:t xml:space="preserve">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</w:t>
      </w:r>
      <w:r>
        <w:rPr>
          <w:sz w:val="28"/>
          <w:szCs w:val="28"/>
        </w:rPr>
        <w:t xml:space="preserve">Федерального  закона от 25 декабря 2008 года № 273-ФЗ «О противодействии коррупции»</w:t>
      </w:r>
      <w:r>
        <w:rPr>
          <w:sz w:val="28"/>
          <w:szCs w:val="28"/>
        </w:rPr>
        <w:t xml:space="preserve">. В этом случае комиссия рекомендует главе Петровского муниципального округа Ставропольского края, руководителю органа администрации соответственно проинформировать об указанных обстоятельствах органы прокурат</w:t>
      </w:r>
      <w:r>
        <w:rPr>
          <w:sz w:val="28"/>
          <w:szCs w:val="28"/>
        </w:rPr>
        <w:t xml:space="preserve">уры Российской Федерации и уведомившую организацию.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>
        <w:rPr>
          <w:sz w:val="28"/>
          <w:szCs w:val="28"/>
        </w:rPr>
        <w:t xml:space="preserve">Для исполнения решений комиссии могут быть подготовлены проекты</w:t>
      </w:r>
      <w:r>
        <w:rPr>
          <w:sz w:val="28"/>
          <w:szCs w:val="28"/>
        </w:rPr>
        <w:t xml:space="preserve"> постановлений и распоряжений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приказов (распоряжений) руководителей соответствующих органов администрации, </w:t>
      </w:r>
      <w:r>
        <w:rPr>
          <w:sz w:val="28"/>
          <w:szCs w:val="28"/>
        </w:rPr>
        <w:t xml:space="preserve">которые в установленном порядке представляются на рассмотрение</w:t>
      </w:r>
      <w:r>
        <w:rPr>
          <w:sz w:val="28"/>
          <w:szCs w:val="28"/>
        </w:rPr>
        <w:t xml:space="preserve"> соответственно главе Петровского муниципального округа Ставропольского края, руководителю органа администрации.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вопросам, указанным в пункте 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</w:t>
      </w:r>
      <w:r>
        <w:rPr>
          <w:rFonts w:ascii="Times New Roman" w:hAnsi="Times New Roman" w:cs="Times New Roman"/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подпункта «б» пункта 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муниципального округа Ставропольского края, руководителя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носят р</w:t>
      </w:r>
      <w:r>
        <w:rPr>
          <w:rFonts w:ascii="Times New Roman" w:hAnsi="Times New Roman" w:cs="Times New Roman"/>
          <w:sz w:val="28"/>
          <w:szCs w:val="28"/>
        </w:rPr>
        <w:t xml:space="preserve">екомендательный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подпункта «б» пункта 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. В протоколе заседания комиссии указываются: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 комиссии;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предъявляе</w:t>
      </w:r>
      <w:r>
        <w:rPr>
          <w:rFonts w:ascii="Times New Roman" w:hAnsi="Times New Roman" w:cs="Times New Roman"/>
          <w:sz w:val="28"/>
          <w:szCs w:val="28"/>
        </w:rPr>
        <w:t xml:space="preserve">мые к муниципальному служащему претензии, материалы, на которых они основываются;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фамилии, имена, отчества выступивших на заседании комиссии лиц и краткое изложение их выступлений;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администрацию, орган администрации соответственно;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другие сведения;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результаты голосования;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решение и обоснова</w:t>
      </w:r>
      <w:r>
        <w:rPr>
          <w:rFonts w:ascii="Times New Roman" w:hAnsi="Times New Roman" w:cs="Times New Roman"/>
          <w:sz w:val="28"/>
          <w:szCs w:val="28"/>
        </w:rPr>
        <w:t xml:space="preserve">ние его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</w:t>
      </w:r>
      <w:r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</w:t>
      </w:r>
      <w:r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главе Петровского муниципального округа Ставропольского края, руководителю органа администрации, полностью или в виде выписок из него муниципальному служащему, а также по решению ком</w:t>
      </w:r>
      <w:r>
        <w:rPr>
          <w:rFonts w:ascii="Times New Roman" w:hAnsi="Times New Roman" w:cs="Times New Roman"/>
          <w:sz w:val="28"/>
          <w:szCs w:val="28"/>
        </w:rPr>
        <w:t xml:space="preserve">иссии иным заинтересованным лицам.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председательствующего на комиссии и печатью администрации вручается гражданину, замещавшему должность муниципальной службы соответственно в администрации, органе администрации, в отношении которого рассматривался вопрос, указанный в абзаце втором подпункта «б» пункта 19 настоящего Положения, под роспись или направляется заказным письмом с уведомлением по адресу, указанному в обращении гражданина, не позднее р</w:t>
      </w:r>
      <w:r>
        <w:rPr>
          <w:rFonts w:ascii="Times New Roman" w:hAnsi="Times New Roman" w:cs="Times New Roman"/>
          <w:sz w:val="28"/>
          <w:szCs w:val="28"/>
        </w:rPr>
        <w:t xml:space="preserve">абочего дня, следующего за днем проведения соответствующего заседания комиссии.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. Глава Петровского муниципального округа Ставропольского края, руководитель органа администрации соответственно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законодательством, а также по иным вопросам организации противодействия коррупции. О рассмотрен</w:t>
      </w:r>
      <w:r>
        <w:rPr>
          <w:rFonts w:ascii="Times New Roman" w:hAnsi="Times New Roman" w:cs="Times New Roman"/>
          <w:sz w:val="28"/>
          <w:szCs w:val="28"/>
        </w:rPr>
        <w:t xml:space="preserve">ии рекомендаций комиссии и принятом решении глава Петровского муниципального округа Ставропольского края, руководитель органа администрации в письменной форме уведомляет комиссию в месячный срок со дня поступления к нему протокола заседания комиссии. Решение главы Петровского муниципального округа Ставропольского края, руководителя органа администрации оглашается на ближайшем заседании комиссии и принимается к сведению без обсуждения.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>
        <w:rPr>
          <w:rFonts w:ascii="Times New Roman" w:hAnsi="Times New Roman" w:cs="Times New Roman"/>
          <w:sz w:val="28"/>
          <w:szCs w:val="28"/>
        </w:rPr>
        <w:t xml:space="preserve">Протокол комиссии утверждается главой Петровского муниципального окру</w:t>
      </w:r>
      <w:r>
        <w:rPr>
          <w:rFonts w:ascii="Times New Roman" w:hAnsi="Times New Roman" w:cs="Times New Roman"/>
          <w:sz w:val="28"/>
          <w:szCs w:val="28"/>
        </w:rPr>
        <w:t xml:space="preserve">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главе Петровского муниципального округа Ставропольского края, руководителю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 xml:space="preserve">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hAnsi="Times New Roman" w:cs="Times New Roman"/>
          <w:sz w:val="28"/>
          <w:szCs w:val="28"/>
        </w:rPr>
        <w:t xml:space="preserve">охра</w:t>
      </w:r>
      <w:r>
        <w:rPr>
          <w:rFonts w:ascii="Times New Roman" w:hAnsi="Times New Roman" w:cs="Times New Roman"/>
          <w:sz w:val="28"/>
          <w:szCs w:val="28"/>
        </w:rPr>
        <w:t xml:space="preserve">нительные органы в 3-дневный срок, а при необходимости - немедленно.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</w:t>
      </w:r>
      <w:r>
        <w:rPr>
          <w:rFonts w:ascii="Times New Roman" w:hAnsi="Times New Roman" w:cs="Times New Roman"/>
          <w:sz w:val="28"/>
          <w:szCs w:val="28"/>
        </w:rPr>
        <w:t xml:space="preserve">бному поведению и (или) требований об урегулировании конфликта интересов.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Ю.В.Петрич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UserStyle_6"/>
      <w:suff w:val="tab"/>
      <w:lvlText w:val="%1."/>
      <w:lvlJc w:val="center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_Пункт"/>
    <w:basedOn w:val="Normal"/>
    <w:next w:val="UserStyle_6"/>
    <w:link w:val="Normal"/>
    <w:pPr>
      <w:numPr>
        <w:numId w:val="1"/>
        <w:ilvl w:val="0"/>
      </w:num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36009</Characters>
  <CharactersWithSpaces>42242</CharactersWithSpaces>
  <DocSecurity>0</DocSecurity>
  <HyperlinksChanged>false</HyperlinksChanged>
  <Lines>300</Lines>
  <Pages>17</Pages>
  <Paragraphs>84</Paragraphs>
  <ScaleCrop>false</ScaleCrop>
  <SharedDoc>false</SharedDoc>
  <Template>Normal.dotm</Template>
  <Words>6317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Лавриненко Елена Ивановна</cp:lastModifiedBy>
  <cp:revision>7</cp:revision>
  <dcterms:created xsi:type="dcterms:W3CDTF">2024-12-11T07:37:00Z</dcterms:created>
  <dcterms:modified xsi:type="dcterms:W3CDTF">2024-12-23T10:51:00Z</dcterms:modified>
  <cp:version>1048576</cp:version>
</cp:coreProperties>
</file>