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3D05A7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204698" w:rsidP="003D05A7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3D05A7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3D05A7" w:rsidRPr="00F86E8C">
        <w:rPr>
          <w:sz w:val="28"/>
          <w:szCs w:val="28"/>
        </w:rPr>
        <w:t xml:space="preserve">О внесении изменений в Положение об установлении размера ежемесячных и </w:t>
      </w:r>
      <w:r w:rsidR="003D05A7" w:rsidRPr="00F86E8C">
        <w:rPr>
          <w:sz w:val="28"/>
          <w:szCs w:val="28"/>
        </w:rPr>
        <w:t>иных дополнительных выплат,</w:t>
      </w:r>
      <w:r w:rsidR="003D05A7" w:rsidRPr="00F86E8C">
        <w:rPr>
          <w:sz w:val="28"/>
          <w:szCs w:val="28"/>
        </w:rPr>
        <w:t xml:space="preserve"> и порядка их осуществления в органах местного самоуправления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</w:t>
      </w:r>
    </w:p>
    <w:p w:rsidR="005C4D6A" w:rsidRDefault="003D05A7" w:rsidP="00204698">
      <w:pPr>
        <w:ind w:firstLine="0"/>
        <w:jc w:val="center"/>
        <w:outlineLvl w:val="0"/>
        <w:rPr>
          <w:sz w:val="28"/>
          <w:szCs w:val="28"/>
        </w:rPr>
      </w:pPr>
      <w:r w:rsidRPr="00F86E8C">
        <w:rPr>
          <w:sz w:val="28"/>
          <w:szCs w:val="28"/>
        </w:rPr>
        <w:t>от 29 февраля 2024 г. № 16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3D05A7" w:rsidRPr="00F86E8C">
        <w:rPr>
          <w:sz w:val="28"/>
          <w:szCs w:val="28"/>
        </w:rPr>
        <w:t>О внесении изменений в Положение об установлении размера ежемесячных и иных дополнительных выплат и порядка их осуществления в органах местного самоуправления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от 29 февраля 2024 г. № 16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3D05A7" w:rsidRPr="00F86E8C">
        <w:rPr>
          <w:sz w:val="28"/>
          <w:szCs w:val="28"/>
        </w:rPr>
        <w:t xml:space="preserve">О внесении изменений в Положение об установлении размера ежемесячных и </w:t>
      </w:r>
      <w:bookmarkStart w:id="0" w:name="_GoBack"/>
      <w:bookmarkEnd w:id="0"/>
      <w:r w:rsidR="003D05A7" w:rsidRPr="00F86E8C">
        <w:rPr>
          <w:sz w:val="28"/>
          <w:szCs w:val="28"/>
        </w:rPr>
        <w:t>иных дополнительных выплат,</w:t>
      </w:r>
      <w:r w:rsidR="003D05A7" w:rsidRPr="00F86E8C">
        <w:rPr>
          <w:sz w:val="28"/>
          <w:szCs w:val="28"/>
        </w:rPr>
        <w:t xml:space="preserve"> и порядка их осуществления в органах местного самоуправления Петровского муниципального округа Ставропольского края, утвержденное решением Совета депутатов Петровского муниципального округа </w:t>
      </w:r>
      <w:r w:rsidR="003D05A7" w:rsidRPr="00F86E8C">
        <w:rPr>
          <w:sz w:val="28"/>
          <w:szCs w:val="28"/>
        </w:rPr>
        <w:lastRenderedPageBreak/>
        <w:t>Ставропольского края от 29 февраля 2024 г. № 16</w:t>
      </w:r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B397E">
      <w:footerReference w:type="default" r:id="rId10"/>
      <w:pgSz w:w="11900" w:h="16800"/>
      <w:pgMar w:top="1021" w:right="567" w:bottom="1021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6C8" w:rsidRDefault="00A306C8">
      <w:r>
        <w:separator/>
      </w:r>
    </w:p>
  </w:endnote>
  <w:endnote w:type="continuationSeparator" w:id="0">
    <w:p w:rsidR="00A306C8" w:rsidRDefault="00A3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A306C8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6C8" w:rsidRDefault="00A306C8">
      <w:r>
        <w:separator/>
      </w:r>
    </w:p>
  </w:footnote>
  <w:footnote w:type="continuationSeparator" w:id="0">
    <w:p w:rsidR="00A306C8" w:rsidRDefault="00A30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A6A00"/>
    <w:rsid w:val="00100C04"/>
    <w:rsid w:val="00171958"/>
    <w:rsid w:val="00203C51"/>
    <w:rsid w:val="00204698"/>
    <w:rsid w:val="00210C81"/>
    <w:rsid w:val="002457F3"/>
    <w:rsid w:val="00341107"/>
    <w:rsid w:val="003B7346"/>
    <w:rsid w:val="003D05A7"/>
    <w:rsid w:val="003F6162"/>
    <w:rsid w:val="00427579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566F5"/>
    <w:rsid w:val="007F535C"/>
    <w:rsid w:val="0081438D"/>
    <w:rsid w:val="00841865"/>
    <w:rsid w:val="008656A6"/>
    <w:rsid w:val="00924E89"/>
    <w:rsid w:val="009D0C2C"/>
    <w:rsid w:val="009E0A1A"/>
    <w:rsid w:val="00A306C8"/>
    <w:rsid w:val="00AE10CB"/>
    <w:rsid w:val="00B31134"/>
    <w:rsid w:val="00BD5048"/>
    <w:rsid w:val="00BF6F6E"/>
    <w:rsid w:val="00D12872"/>
    <w:rsid w:val="00D31671"/>
    <w:rsid w:val="00DD3F59"/>
    <w:rsid w:val="00EA54A1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5A0E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 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4</cp:revision>
  <cp:lastPrinted>2021-05-26T06:47:00Z</cp:lastPrinted>
  <dcterms:created xsi:type="dcterms:W3CDTF">2024-05-02T08:52:00Z</dcterms:created>
  <dcterms:modified xsi:type="dcterms:W3CDTF">2024-07-09T07:22:00Z</dcterms:modified>
</cp:coreProperties>
</file>