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Look w:val="04A0" w:firstRow="1" w:lastRow="0" w:firstColumn="1" w:lastColumn="0" w:noHBand="0" w:noVBand="1"/>
      </w:tblPr>
      <w:tblGrid>
        <w:gridCol w:w="9322"/>
      </w:tblGrid>
      <w:tr>
        <w:tblPrEx/>
        <w:trPr>
          <w:jc w:val="left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9322" w:type="dxa"/>
            <w:vAlign w:val="top"/>
            <w:textDirection w:val="lrTb"/>
            <w:noWrap w:val="false"/>
          </w:tcPr>
          <w:p>
            <w:pPr>
              <w:ind w:left="0" w:right="175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8"/>
                <w:shd w:val="clear" w:color="auto" w:fil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8"/>
                <w:shd w:val="clear" w:color="auto" w:fill="auto"/>
              </w:rPr>
            </w:r>
          </w:p>
          <w:p>
            <w:pPr>
              <w:ind w:left="0" w:right="0" w:firstLine="70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Информация о работе с обращениями граждан в администрации Петровского муниципального округа   Ставропольского края за 2024 год.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</w:p>
          <w:p>
            <w:pPr>
              <w:ind w:left="0" w:right="0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8"/>
                <w:shd w:val="clear" w:color="auto" w:fill="auto"/>
              </w:rPr>
            </w:r>
          </w:p>
          <w:p>
            <w:pPr>
              <w:ind w:left="0" w:right="0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Рассмотрение обращений и проведение личного при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ема граждан в администрации Петровского муниципального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</w:p>
          <w:p>
            <w:pPr>
              <w:ind w:left="0" w:right="0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В администрации Петровского муниципального округа Ставропольского края организован прием граждан, представителей организаций (юридических лиц), общественных об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ъединений, государственных органов и должностными лицами администрации: главой Петровского муниципального округа, его заместителями, управляющим делами, начальниками отделов и управлений администрации Петровского муниципального округа Ставропольского края.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Организована работа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телефона доверия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главы Петровского муниципального округа.</w:t>
            </w:r>
            <w:r>
              <w:rPr>
                <w:spacing w:val="0"/>
                <w:position w:val="0"/>
              </w:rPr>
            </w:r>
          </w:p>
        </w:tc>
      </w:tr>
    </w:tbl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СТАТИСТИЧЕСКИЕ ДАННЫЕ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работе с обращениями граждан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администрации Петровского муниципального округа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</w:p>
    <w:tbl>
      <w:tblPr>
        <w:tblLook w:val="04A0" w:firstRow="1" w:lastRow="0" w:firstColumn="1" w:lastColumn="0" w:noHBand="0" w:noVBand="1"/>
      </w:tblPr>
      <w:tblGrid>
        <w:gridCol w:w="5920"/>
        <w:gridCol w:w="1843"/>
        <w:gridCol w:w="1807"/>
      </w:tblGrid>
      <w:tr>
        <w:tblPrEx/>
        <w:trPr>
          <w:jc w:val="left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2023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год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2024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год</w:t>
            </w:r>
            <w:r>
              <w:rPr>
                <w:color w:val="auto"/>
                <w:spacing w:val="0"/>
                <w:position w:val="0"/>
              </w:rPr>
            </w:r>
          </w:p>
        </w:tc>
      </w:tr>
      <w:tr>
        <w:tblPrEx/>
        <w:trPr>
          <w:jc w:val="left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Поступило  обращений  всего:  из  них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8"/>
                <w:shd w:val="clear" w:color="auto" w:fill="auto"/>
              </w:rPr>
              <w:t xml:space="preserve">1425</w:t>
            </w:r>
            <w:r>
              <w:rPr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1473</w:t>
            </w:r>
            <w:r>
              <w:rPr>
                <w:color w:val="auto"/>
                <w:spacing w:val="0"/>
                <w:position w:val="0"/>
              </w:rPr>
            </w:r>
          </w:p>
        </w:tc>
      </w:tr>
      <w:tr>
        <w:tblPrEx/>
        <w:trPr>
          <w:jc w:val="left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письменных  обращений  граждан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8"/>
                <w:shd w:val="clear" w:color="auto" w:fill="auto"/>
              </w:rPr>
              <w:t xml:space="preserve">1075</w:t>
            </w:r>
            <w:r>
              <w:rPr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1076</w:t>
            </w:r>
            <w:r>
              <w:rPr>
                <w:color w:val="auto"/>
                <w:spacing w:val="0"/>
                <w:position w:val="0"/>
              </w:rPr>
            </w:r>
          </w:p>
        </w:tc>
      </w:tr>
      <w:tr>
        <w:tblPrEx/>
        <w:trPr>
          <w:jc w:val="left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проверено с выездом на место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425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425</w:t>
            </w:r>
            <w:r>
              <w:rPr>
                <w:color w:val="auto"/>
                <w:spacing w:val="0"/>
                <w:position w:val="0"/>
              </w:rPr>
            </w:r>
          </w:p>
        </w:tc>
      </w:tr>
      <w:tr>
        <w:tblPrEx/>
        <w:trPr>
          <w:jc w:val="left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Принято граждан на личном приёме: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8"/>
                <w:shd w:val="clear" w:color="auto" w:fill="auto"/>
              </w:rPr>
              <w:t xml:space="preserve">124</w:t>
            </w:r>
            <w:r>
              <w:rPr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100</w:t>
            </w:r>
            <w:r>
              <w:rPr>
                <w:color w:val="auto"/>
                <w:spacing w:val="0"/>
                <w:position w:val="0"/>
              </w:rPr>
            </w:r>
          </w:p>
        </w:tc>
      </w:tr>
      <w:tr>
        <w:tblPrEx/>
        <w:trPr>
          <w:jc w:val="left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в том числе главой округа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8"/>
                <w:shd w:val="clear" w:color="auto" w:fill="auto"/>
              </w:rPr>
              <w:t xml:space="preserve">95</w:t>
            </w:r>
            <w:r>
              <w:rPr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77</w:t>
            </w:r>
            <w:r>
              <w:rPr>
                <w:color w:val="auto"/>
                <w:spacing w:val="0"/>
                <w:position w:val="0"/>
              </w:rPr>
            </w:r>
          </w:p>
        </w:tc>
      </w:tr>
      <w:tr>
        <w:tblPrEx/>
        <w:trPr>
          <w:jc w:val="left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его заместителями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8"/>
                <w:shd w:val="clear" w:color="auto" w:fill="auto"/>
              </w:rPr>
              <w:t xml:space="preserve">29</w:t>
            </w:r>
            <w:r>
              <w:rPr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23</w:t>
            </w:r>
            <w:r>
              <w:rPr>
                <w:color w:val="auto"/>
                <w:spacing w:val="0"/>
                <w:position w:val="0"/>
              </w:rPr>
            </w:r>
          </w:p>
        </w:tc>
      </w:tr>
      <w:tr>
        <w:tblPrEx/>
        <w:trPr>
          <w:jc w:val="left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Поступило обращений по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Телефону доверия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главы Петровского городского округа Ставропольского края</w:t>
            </w:r>
            <w:r>
              <w:rPr>
                <w:color w:val="auto"/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8"/>
                <w:shd w:val="clear" w:color="auto" w:fill="auto"/>
              </w:rPr>
              <w:t xml:space="preserve">226</w:t>
            </w:r>
            <w:r>
              <w:rPr>
                <w:spacing w:val="0"/>
                <w:position w:val="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296</w:t>
            </w:r>
            <w:r>
              <w:rPr>
                <w:color w:val="auto"/>
                <w:spacing w:val="0"/>
                <w:position w:val="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-1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Анализ обращений граждан, поступивших в администрацию Петровского муниципального округа Ставропольского края в 2024 году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За 2024 год в администрацию Петровского муниципального округа Ставропольского края поступило 1473 обращения.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всех поступивших обращений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1076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письменных. Из них 496</w:t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обращений поступило на имя главы Петровского муниципального округа Ставропольского края, а 580 обращений было перенаправлено: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управления по работе с обращениями граждан аппарата Правительства Ставропольского края -  277 (18,81%);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Государственной Думы Федерального собрания РФ Иванова В.В.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Думы Ставропольского края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от депутатата Государственной Думы 8-го созыва Кузьмина М.В.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от Представителя Губернатора Ставропольского края в муниципальном образовании Ставропольского края Пустоселова С.Р. - 51 (3,46%);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управления по региональной безопасности аппарата Правительства Ставропольском крае - 2 (0,14%);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дорожного хозяйства и транспорта Ставропольского края - 12 (0,82%);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жилищно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коммунального хозяйства Ставропольского края - 14 (0,95%);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природных ресурсов и охраны окружающей среды Ставропольского края - 5 (0,34%);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образования Ставропольского края - 19 (1,29%);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строительства и архитектуры Ставропольского края - 8 (0,54%);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труда и социальной защиты населения Ставропольского края - 3 (0,2%);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энергетики, промышленности и связи Ставропольского края - 3 (0,2%);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министерства культуры Ставропольского края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от Уполномоченного по правам ребенка в Ставропольском крае - 2 (0,4%);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от Уполномоченного по правам человека в Ставропольском крае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управления Ставропольского края по сохранению и государственной охране объектов культурного наследия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Главного Управления МЧС России по Ставропольскому краю - 2 (0,14);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75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управления Ставропольского края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государственная жилищная инспекция - 2 (0,14%);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75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администрации Предгорного муниципального округа Ставропольского края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75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Государственного учреждения - Отделения Пенсионного фонда Российской Федерации по Ставропольскому краю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</w:t>
      </w:r>
      <w:r>
        <w:rPr>
          <w:rFonts w:ascii="Trebuchet MS" w:hAnsi="Trebuchet MS" w:eastAsia="Trebuchet MS" w:cs="Trebuchet MS"/>
          <w:color w:val="auto"/>
          <w:spacing w:val="0"/>
          <w:position w:val="0"/>
          <w:sz w:val="23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 - 3 (0,2%);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Управление Федеральной службы по ветеринарному и фитосанитарному надзору по Ставропольскому краю и Карачаево-Черкесской Республике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- 12 (0,82%);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222222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22222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222222"/>
          <w:spacing w:val="0"/>
          <w:position w:val="0"/>
          <w:sz w:val="28"/>
          <w:shd w:val="clear" w:color="auto" w:fill="ffffff"/>
        </w:rPr>
        <w:t xml:space="preserve">из Северо </w:t>
      </w:r>
      <w:r>
        <w:rPr>
          <w:rFonts w:ascii="Times New Roman" w:hAnsi="Times New Roman" w:eastAsia="Times New Roman" w:cs="Times New Roman"/>
          <w:color w:val="222222"/>
          <w:spacing w:val="0"/>
          <w:position w:val="0"/>
          <w:sz w:val="28"/>
          <w:shd w:val="clear" w:color="auto" w:fill="ffffff"/>
        </w:rPr>
        <w:t xml:space="preserve">–</w:t>
      </w:r>
      <w:r>
        <w:rPr>
          <w:rFonts w:ascii="Times New Roman" w:hAnsi="Times New Roman" w:eastAsia="Times New Roman" w:cs="Times New Roman"/>
          <w:color w:val="222222"/>
          <w:spacing w:val="0"/>
          <w:position w:val="0"/>
          <w:sz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0"/>
          <w:position w:val="0"/>
          <w:sz w:val="28"/>
          <w:shd w:val="clear" w:color="auto" w:fill="ffffff"/>
        </w:rPr>
        <w:t xml:space="preserve">Кавказского межрегионального управления Федеральной службы по надзору в сфере природопользования - 4 (0,27%);</w:t>
      </w:r>
      <w:r>
        <w:rPr>
          <w:rFonts w:ascii="Times New Roman" w:hAnsi="Times New Roman" w:eastAsia="Times New Roman" w:cs="Times New Roman"/>
          <w:color w:val="222222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управления ветеринарии Ставропольского края - 5 (0,34%);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75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управления Россельхознадзора по Ставропольскому краю и Карачаево - Черкесской Республике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Ставропольской межрайонной природоохранной прокуратуры - 2 (0,14%);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регионального исполкома общероссийского общественого движения "Народный фронт "За Россию" в Ставропольском крае - 2 (0,14%);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прокуратуры Петровского района Ставропольского края - 22 (1,49%);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Петровского межрайонного следственного отдела - 26 (1,77%);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Совета депутатов Петровского городского округа Ставропольского края - 58 (3,94%);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Отдела МВД РФ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Петровский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- 4 (0,27%);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Петровского местного отделения партии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Единая Россия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Ставропольского края - 33 (2,24%).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администрацию Петровского муниципального округа Ставропольского края поступило 109 коллективных обращений, 3 - анонимных.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Звонков на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Телефон доверия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главы Петровского муниципального округа Ставропольского края - 296.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Главой Петровского муниципального округа Ставропольского края проведены 11 прямых линий с жителями Петровского муниципального округа, в ходе которых были рассмотрены вопросы, волнующие население нашего округа.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На платформе обратной связи (ПОС) было отработано обращений 344, а в системе "Инцидент менеджмент" за 2024 год в оперативном порядке отработано 1786 сообщений от граждан направленых в социальных сетях.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2024 году поступило обращений от жителей: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г. Светлоград - 1008 (68,43%);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Благодатное - 32 (2,17%);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Высоцкое - 25 (1,7%);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Ореховка - 24 (1,63%);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Константиновское - 40 (2,72%);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Донская Балка - 33 (2,24%);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Сухая Буйвола - 44 (2,99%);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Шведино - 15 (1,02%);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Шангала - 7 (0,48%);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Николина Балка - 29 (1,97%);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Гофицкое - 44 (2,99%);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Просянка - 28 (1,9%);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Кугуты - 2 (0,14%);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с. Мартыновка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п. Рогатая Балка - 16 (1,09%);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п. Горный - 2 (0,14%);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п. Прикалаусский - 5 (0,34%);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п. Пшеничный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п. Цветочный - 3 (0,2%);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п. Маяк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п. Полевой - 4 (0,27%);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х. Соленое Озеро - 21 (1,43%);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х. Носачев - 6 (0,41%);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х. Вознесенский - 1 (0,07%);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иные города - 81 (5,5%).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Результаты рассмотрения обращений: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перенаправлено по компетенции - 44 (2,99%);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разъяснено - 1314</w:t>
      </w:r>
      <w:r>
        <w:rPr>
          <w:rFonts w:ascii="Times New Roman" w:hAnsi="Times New Roman" w:eastAsia="Times New Roman" w:cs="Times New Roman"/>
          <w:color w:val="c00000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(89,21%);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решено положительно - 79 (5,36%);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рассмотрено с выездом на место - 429 (29,12%);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находятся на дополнительном контроле - 63 (4,28%).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Наиболее актуальные вопросы, содержащиеся в обращениях граждан: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благоустройство дорог, тротуаров и мостов, устройство пешеходных переходов, парковок, светофоров и установка знаков в населенных пунктах района - 325;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организация пассажирских перевозок - 58;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организация уличного освещения - 87;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перебои в электроснабжении и вопросы, связанные с оплатой услуг за электроэнергию - 29;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вопросы, относящиеся к деятельности ресурсоснабжающих организаций, подключение/отключение, начисление задолженности - 9;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капитальный ремонт общего имущества в многоквартирных домах и общежитиях - 38;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ремонте, расчистке и устройстве дренажной, канализационной систем - 84;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перебоях в водоснабжении и качестве поставляемой воды - 110;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обращение с ТКО - 30;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законности установки вышки связи - 4;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комплексное благоустройство - 29;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спил дикорастущих, аварийных деревьев - 81;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по вопросу покоса сорной растительности - 6;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нарушении норм и правил застройки - 21;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спорные вопросы по установлению границ земельных участков, земельные вопросы - 102;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вопросы о земельных участках сельскохозяйственного назначения, паях - 30;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организация образовательного процесса, а также обеспечение бесплатным питанием учащихся образовательных учреждений - 36;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социальные выплаты и гарантии - 76;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строительство и реконструкция социальных объектов - 17;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устройство детских и спортивных площадок - 26;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об оказании финансовой помощи - 23;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вопросы касающиеся сферы здравоохранения - 16;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об оказании содействия в улучшение жилищных условий - 39;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об оказании помощи в решении вопросов, связанных с правом собственности на имущество - 5;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о нарущшении норм и правил при содержании длмпшних животных и птицы - 77;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нарушении санитарных норм - 10;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об отлове и содержании безнадзорных животных - 20;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расчистке русел и укреплении берегов рек и балок - 4;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вопросы торговли и потребительского рынка - 13;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об участии в Губернаторской елке - 2;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о предоставлении информационной справки о семье военнослужащего 11;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предоставлении архивных данных - 16;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благодарность - 5;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иные вопросы - 64.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На официальном сайте администрации Петровского муниципального округа Ставропольского края в информационно-телекоммуникационной сети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Интернет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размещены основные положения работы с обращениями граждан, нормативно-правовые акты, предусмотрена страница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Электронное обращение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содержащая специальную форму, позволяющую гражданам направлять обращения в форме электронного документа.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  <w:t xml:space="preserve">В соответствии с Указом Президента Российской Федерации от 17.04.2017 </w:t>
      </w:r>
      <w:r>
        <w:rPr>
          <w:rFonts w:ascii="Segoe UI Symbol" w:hAnsi="Segoe UI Symbol" w:eastAsia="Segoe UI Symbol" w:cs="Segoe UI Symbol"/>
          <w:color w:val="1a1a1a"/>
          <w:spacing w:val="0"/>
          <w:position w:val="0"/>
          <w:sz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  <w:t xml:space="preserve"> 171 </w:t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  <w:t xml:space="preserve">О мониторинге и анализе результатов рассмотрения обращений граждан и организаций</w:t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  <w:t xml:space="preserve">администрац</w:t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  <w:t xml:space="preserve">ия Петровского муниципального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  <w:r>
        <w:rPr>
          <w:rFonts w:ascii="Times New Roman" w:hAnsi="Times New Roman" w:eastAsia="Times New Roman" w:cs="Times New Roman"/>
          <w:color w:val="1a1a1a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авлений деятельности администрации Петровского муниципального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анализ поступающих обращений;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осуществляется постоянный контроль за исполнением требований Федерального закона от 02.05.2006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8"/>
          <w:shd w:val="clear" w:color="auto" w:fill="auto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59-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ФЗ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решением поднятых проблем в обращениях;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осуществление контроля за сроками и качеством рассмотрения обращений.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-284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left"/>
        <w:spacing w:before="5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Управляющий делами администрации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Петровского муниципального округа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Ставропольского края                                                      Ю.В. Петрич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left"/>
        <w:spacing w:before="5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left"/>
        <w:spacing w:before="5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color="auto" w:fill="auto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ff0000"/>
          <w:spacing w:val="0"/>
          <w:position w:val="0"/>
          <w:sz w:val="22"/>
          <w:shd w:val="clear" w:color="auto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2"/>
          <w:shd w:val="clear" w:color="auto" w:fill="auto"/>
        </w:rPr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2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Trebuchet MS">
    <w:panose1 w:val="020B0603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1606" w:default="1">
    <w:name w:val="Default Paragraph Font"/>
    <w:uiPriority w:val="1"/>
    <w:semiHidden/>
    <w:unhideWhenUsed/>
  </w:style>
  <w:style w:type="numbering" w:styleId="1607" w:default="1">
    <w:name w:val="No List"/>
    <w:uiPriority w:val="99"/>
    <w:semiHidden/>
    <w:unhideWhenUsed/>
  </w:style>
  <w:style w:type="paragraph" w:styleId="1608" w:default="1">
    <w:name w:val="Normal"/>
    <w:qFormat/>
  </w:style>
  <w:style w:type="table" w:styleId="16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