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УТВЕРЖДАЮ</w:t>
            </w:r>
          </w:p>
          <w:p>
            <w:pPr>
              <w:pStyle w:val="Normal"/>
              <w:spacing w:line="0" w:lineRule="atLeast"/>
              <w:ind w:left="-3" w:right="25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Контрольно-счетной палаты Петровского </w:t>
            </w:r>
            <w:r>
              <w:rPr>
                <w:color w:val="000000"/>
              </w:rPr>
              <w:t xml:space="preserve">муниципального</w:t>
            </w:r>
            <w:r>
              <w:rPr>
                <w:color w:val="000000"/>
              </w:rPr>
              <w:t xml:space="preserve"> округа </w:t>
            </w:r>
            <w:r>
              <w:rPr>
                <w:color w:val="000000"/>
              </w:rPr>
              <w:t xml:space="preserve">Ставропольского края</w:t>
            </w:r>
          </w:p>
          <w:p>
            <w:pPr>
              <w:pStyle w:val="Normal"/>
              <w:spacing w:line="0" w:lineRule="atLeast"/>
              <w:ind w:left="-3" w:right="25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="0" w:lineRule="atLeast"/>
              <w:ind w:left="-3" w:right="252" w:firstLine="0"/>
            </w:pPr>
            <w:r>
              <w:t xml:space="preserve">04</w:t>
            </w:r>
            <w:r>
              <w:t xml:space="preserve"> </w:t>
            </w:r>
            <w:r>
              <w:t xml:space="preserve">дека</w:t>
            </w:r>
            <w:r>
              <w:t xml:space="preserve">бря</w:t>
            </w:r>
            <w:r>
              <w:t xml:space="preserve"> </w:t>
            </w: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</w:t>
            </w:r>
            <w:r>
              <w:t xml:space="preserve">года</w:t>
            </w:r>
          </w:p>
          <w:p>
            <w:pPr>
              <w:pStyle w:val="Normal"/>
              <w:spacing w:line="0" w:lineRule="atLeast"/>
              <w:ind w:left="-3" w:right="252" w:firstLine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="0" w:lineRule="atLeast"/>
              <w:ind w:left="-3" w:right="252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Клочкова Н.А.</w:t>
            </w:r>
          </w:p>
        </w:tc>
      </w:tr>
    </w:tbl>
    <w:p>
      <w:pPr>
        <w:pStyle w:val="Normal"/>
        <w:spacing w:line="0" w:lineRule="atLeast"/>
        <w:ind w:firstLine="85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  <w:t xml:space="preserve">ОТЧЕТ</w:t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  <w:t xml:space="preserve">о результатах </w:t>
      </w:r>
      <w:r>
        <w:rPr>
          <w:b/>
          <w:color w:val="000000"/>
        </w:rPr>
        <w:t xml:space="preserve">экспертно-аналитического мероприятия</w:t>
      </w:r>
      <w:r>
        <w:rPr>
          <w:b/>
          <w:color w:val="000000"/>
        </w:rPr>
      </w:r>
    </w:p>
    <w:p>
      <w:pPr>
        <w:pStyle w:val="Normal"/>
        <w:spacing w:line="0" w:lineRule="atLeast"/>
        <w:ind w:firstLine="85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color w:val="0d0d0d"/>
          <w:spacing w:val="-4"/>
        </w:rPr>
        <w:t xml:space="preserve">«Оценка эффективности осуществления мероприятий по учету, управлению имуществом, находящимся в собственности Петровского муниципального округа Ставропольского края»</w:t>
      </w:r>
      <w:r>
        <w:rPr>
          <w:spacing w:val="-4"/>
        </w:rPr>
        <w:t xml:space="preserve">.</w:t>
      </w:r>
    </w:p>
    <w:p>
      <w:pPr>
        <w:pStyle w:val="Normal"/>
        <w:spacing w:line="0" w:lineRule="atLeast"/>
        <w:ind w:firstLine="851"/>
        <w:rPr>
          <w:spacing w:val="-4"/>
        </w:rPr>
      </w:pPr>
      <w:r>
        <w:rPr>
          <w:spacing w:val="-4"/>
        </w:rPr>
      </w:r>
    </w:p>
    <w:p>
      <w:pPr>
        <w:pStyle w:val="Normal"/>
        <w:spacing w:line="0" w:lineRule="atLeast"/>
        <w:ind w:firstLine="8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 xml:space="preserve">Основание для проведения </w:t>
      </w:r>
      <w:r>
        <w:rPr>
          <w:b/>
          <w:bCs/>
          <w:color w:val="000000"/>
        </w:rPr>
        <w:t xml:space="preserve">экспертно-аналитического мероприятия</w:t>
      </w:r>
      <w:r>
        <w:rPr>
          <w:b/>
          <w:bCs/>
          <w:color w:val="000000"/>
        </w:rPr>
        <w:t xml:space="preserve">:</w:t>
      </w:r>
      <w:r>
        <w:rPr>
          <w:b/>
          <w:bCs/>
          <w:color w:val="000000"/>
        </w:rPr>
      </w:r>
    </w:p>
    <w:p>
      <w:pPr>
        <w:pStyle w:val="Normal"/>
        <w:spacing w:line="0" w:lineRule="atLeast"/>
        <w:ind w:firstLine="851"/>
      </w:pPr>
      <w:r>
        <w:rPr>
          <w:color w:val="000000"/>
        </w:rPr>
        <w:t xml:space="preserve">- п</w:t>
      </w:r>
      <w:r>
        <w:rPr>
          <w:color w:val="000000"/>
        </w:rPr>
        <w:t xml:space="preserve">ункт</w:t>
      </w:r>
      <w:r>
        <w:rPr>
          <w:color w:val="000000"/>
        </w:rPr>
        <w:t xml:space="preserve"> </w:t>
      </w:r>
      <w:r>
        <w:rPr>
          <w:color w:val="000000"/>
        </w:rPr>
        <w:t xml:space="preserve">1</w:t>
      </w:r>
      <w:r>
        <w:rPr>
          <w:color w:val="000000"/>
        </w:rPr>
        <w:t xml:space="preserve">3</w:t>
      </w:r>
      <w:r>
        <w:rPr>
          <w:color w:val="000000"/>
        </w:rPr>
        <w:t xml:space="preserve"> </w:t>
      </w:r>
      <w:r>
        <w:rPr>
          <w:color w:val="000000"/>
        </w:rPr>
        <w:t xml:space="preserve">плана работы Контрольно-счетной палаты Петровского муниципального округа Ставропольского края на 2024 год, распоряжение председателя Контрольно-счетной палаты Петровского муниципального округа Ставропольского края от </w:t>
      </w:r>
      <w:r>
        <w:rPr>
          <w:color w:val="000000"/>
        </w:rPr>
        <w:t xml:space="preserve">22</w:t>
      </w:r>
      <w:r>
        <w:rPr>
          <w:color w:val="000000"/>
        </w:rPr>
        <w:t xml:space="preserve">.1</w:t>
      </w:r>
      <w:r>
        <w:rPr>
          <w:color w:val="000000"/>
        </w:rPr>
        <w:t xml:space="preserve">1</w:t>
      </w:r>
      <w:r>
        <w:rPr>
          <w:color w:val="000000"/>
        </w:rPr>
        <w:t xml:space="preserve">.2024 г. № </w:t>
      </w:r>
      <w:r>
        <w:rPr>
          <w:color w:val="000000"/>
        </w:rPr>
        <w:t xml:space="preserve">9</w:t>
      </w:r>
      <w:r>
        <w:rPr>
          <w:color w:val="000000"/>
        </w:rPr>
        <w:t xml:space="preserve">.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>
        <w:rPr>
          <w:b/>
          <w:bCs/>
          <w:color w:val="000000"/>
        </w:rPr>
        <w:t xml:space="preserve">Предмет </w:t>
      </w:r>
      <w:r>
        <w:rPr>
          <w:b/>
          <w:bCs/>
          <w:color w:val="000000"/>
        </w:rPr>
        <w:t xml:space="preserve">экспертно-аналитического мероприятия</w:t>
      </w:r>
      <w:r>
        <w:rPr>
          <w:b/>
          <w:bCs/>
          <w:color w:val="000000"/>
        </w:rPr>
        <w:t xml:space="preserve">:</w:t>
      </w:r>
      <w:r>
        <w:rPr>
          <w:b/>
          <w:bCs/>
          <w:color w:val="000000"/>
        </w:rPr>
      </w:r>
    </w:p>
    <w:p>
      <w:pPr>
        <w:pStyle w:val="Normal"/>
        <w:spacing w:line="0" w:lineRule="atLeast"/>
        <w:ind w:firstLine="851"/>
      </w:pPr>
      <w:r>
        <w:t xml:space="preserve">- реестр объектов муниципальной собственности;</w:t>
      </w:r>
    </w:p>
    <w:p>
      <w:pPr>
        <w:pStyle w:val="Normal"/>
        <w:spacing w:line="0" w:lineRule="atLeast"/>
        <w:ind w:firstLine="851"/>
      </w:pPr>
      <w:r>
        <w:t xml:space="preserve">- перечень муниципального имущества Петровского муниципального округа Ставропольского края, </w:t>
      </w:r>
      <w: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;</w:t>
      </w:r>
    </w:p>
    <w:p>
      <w:pPr>
        <w:pStyle w:val="Normal"/>
        <w:spacing w:line="0" w:lineRule="atLeast"/>
        <w:ind w:firstLine="851"/>
      </w:pPr>
      <w:r>
        <w:t xml:space="preserve">- </w:t>
      </w:r>
      <w:r>
        <w:t xml:space="preserve">Прогнозный план (программа) приватизации муниципального имущества Петровского муниципального округа Ставропольского края;</w:t>
      </w:r>
    </w:p>
    <w:p>
      <w:pPr>
        <w:pStyle w:val="Normal"/>
        <w:spacing w:line="0" w:lineRule="atLeast"/>
        <w:ind w:firstLine="851"/>
      </w:pPr>
      <w:r>
        <w:t xml:space="preserve">- отчет об исполнении Прогнозного плана (программы) приватизации муниципального имущества Петровского муниципального округа Ставропольского края;</w:t>
      </w:r>
    </w:p>
    <w:p>
      <w:pPr>
        <w:pStyle w:val="Normal"/>
        <w:spacing w:line="0" w:lineRule="atLeast"/>
        <w:ind w:firstLine="851"/>
      </w:pPr>
      <w:r>
        <w:t xml:space="preserve">- иные документы и материалы, относящиеся к </w:t>
      </w:r>
      <w:r>
        <w:t xml:space="preserve">экспертно</w:t>
      </w:r>
      <w:r>
        <w:t xml:space="preserve">-аналитической деятельности.</w:t>
      </w:r>
    </w:p>
    <w:p>
      <w:pPr>
        <w:pStyle w:val="Normal"/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 xml:space="preserve">Объект</w:t>
      </w:r>
      <w:r>
        <w:rPr>
          <w:b/>
          <w:bCs/>
          <w:color w:val="000000"/>
        </w:rPr>
        <w:t xml:space="preserve"> (объекты)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экспертно-аналитического мероприятия:</w:t>
      </w:r>
      <w:r>
        <w:rPr>
          <w:b/>
          <w:bCs/>
          <w:color w:val="000000"/>
        </w:rPr>
      </w:r>
    </w:p>
    <w:p>
      <w:pPr>
        <w:pStyle w:val="UserStyle_54"/>
        <w:widowControl/>
        <w:tabs>
          <w:tab w:val="left" w:pos="709" w:leader="none"/>
        </w:tabs>
        <w:spacing w:line="240" w:lineRule="auto"/>
        <w:ind w:firstLine="851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Отдел имущественных и земельных отношений администрации Петровского муниципального округа Ставропольского края.</w:t>
      </w:r>
      <w:r>
        <w:rPr>
          <w:bCs/>
          <w:spacing w:val="-4"/>
          <w:sz w:val="28"/>
          <w:szCs w:val="28"/>
        </w:rPr>
      </w:r>
    </w:p>
    <w:p>
      <w:pPr>
        <w:pStyle w:val="UserStyle_54"/>
        <w:widowControl/>
        <w:tabs>
          <w:tab w:val="left" w:pos="709" w:leader="none"/>
        </w:tabs>
        <w:spacing w:line="240" w:lineRule="auto"/>
        <w:ind w:firstLine="851"/>
        <w:rPr>
          <w:rStyle w:val="UserStyle_53"/>
          <w:sz w:val="28"/>
          <w:szCs w:val="28"/>
        </w:rPr>
      </w:pPr>
      <w:r>
        <w:rPr>
          <w:rStyle w:val="UserStyle_53"/>
          <w:sz w:val="28"/>
          <w:szCs w:val="28"/>
        </w:rPr>
      </w:r>
    </w:p>
    <w:p>
      <w:pPr>
        <w:pStyle w:val="Normal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>
        <w:rPr>
          <w:b/>
          <w:bCs/>
          <w:color w:val="000000"/>
        </w:rPr>
        <w:t xml:space="preserve">Исследуемый период:</w:t>
      </w:r>
      <w:r>
        <w:rPr>
          <w:b/>
          <w:bCs/>
          <w:color w:val="000000"/>
        </w:rPr>
      </w:r>
    </w:p>
    <w:p>
      <w:pPr>
        <w:pStyle w:val="Normal"/>
        <w:spacing w:line="0" w:lineRule="atLeast"/>
        <w:ind w:firstLine="851"/>
        <w:rPr>
          <w:bCs/>
          <w:color w:val="000000"/>
        </w:rPr>
      </w:pPr>
      <w:r>
        <w:rPr>
          <w:bCs/>
          <w:color w:val="000000"/>
        </w:rPr>
        <w:t xml:space="preserve">202</w:t>
      </w:r>
      <w:r>
        <w:rPr>
          <w:bCs/>
          <w:color w:val="000000"/>
        </w:rPr>
        <w:t xml:space="preserve">4</w:t>
      </w:r>
      <w:r>
        <w:rPr>
          <w:bCs/>
          <w:color w:val="000000"/>
        </w:rPr>
        <w:t xml:space="preserve"> год</w:t>
      </w:r>
      <w:r>
        <w:rPr>
          <w:bCs/>
          <w:color w:val="000000"/>
        </w:rPr>
        <w:t xml:space="preserve">.</w:t>
      </w:r>
      <w:r>
        <w:rPr>
          <w:bCs/>
          <w:color w:val="000000"/>
        </w:rPr>
      </w:r>
    </w:p>
    <w:p>
      <w:pPr>
        <w:pStyle w:val="Normal"/>
        <w:spacing w:line="0" w:lineRule="atLeast"/>
        <w:ind w:firstLine="851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>
        <w:rPr>
          <w:b/>
          <w:bCs/>
          <w:color w:val="000000"/>
        </w:rPr>
        <w:t xml:space="preserve">Срок проведения экспертно-аналитического мероприятия: </w:t>
      </w:r>
      <w:r>
        <w:rPr>
          <w:b/>
          <w:bCs/>
          <w:color w:val="000000"/>
        </w:rPr>
      </w:r>
    </w:p>
    <w:p>
      <w:pPr>
        <w:pStyle w:val="Normal"/>
        <w:spacing w:line="0" w:lineRule="atLeast"/>
        <w:ind w:firstLine="851"/>
        <w:jc w:val="left"/>
      </w:pPr>
      <w:r>
        <w:rPr>
          <w:color w:val="000000"/>
        </w:rPr>
        <w:t xml:space="preserve">с 25 ноября 2024 г. по 04 декабря 2024 г.</w:t>
      </w:r>
      <w:r>
        <w:t xml:space="preserve">  </w:t>
      </w:r>
    </w:p>
    <w:p>
      <w:pPr>
        <w:pStyle w:val="Normal"/>
        <w:spacing w:line="0" w:lineRule="atLeast"/>
        <w:ind w:firstLine="851"/>
      </w:pPr>
    </w:p>
    <w:p>
      <w:pPr>
        <w:pStyle w:val="Normal"/>
        <w:tabs>
          <w:tab w:val="left" w:pos="1134" w:leader="none"/>
        </w:tabs>
        <w:ind w:firstLine="850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>
        <w:rPr>
          <w:b/>
          <w:bCs/>
          <w:color w:val="000000"/>
        </w:rPr>
        <w:t xml:space="preserve">Цель (цели) экспертно-аналитического мероприятия:</w:t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00000"/>
        </w:rPr>
        <w:t xml:space="preserve">- проанализировать и оценить эффективность осуществления мероприятий по учету, управлению имуществом, находящимся в собственности Петровского муниципального округа;</w:t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00000"/>
        </w:rPr>
        <w:t xml:space="preserve">- проанализировать и оценить полноту и достоверность размещаемой информации в сети «Интернет» о муниципальном имуществе.</w:t>
      </w:r>
      <w:r>
        <w:rPr>
          <w:color w:val="000000"/>
        </w:rPr>
      </w:r>
    </w:p>
    <w:p>
      <w:pPr>
        <w:pStyle w:val="Normal"/>
        <w:tabs>
          <w:tab w:val="left" w:pos="1134" w:leader="none"/>
        </w:tabs>
        <w:ind w:firstLine="85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134" w:leader="none"/>
        </w:tabs>
        <w:ind w:left="709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7. Краткая характеристика исследуемой сферы формирования и использования государственных средств и деятельности объектов экспертно-аналитического мероприятия</w:t>
      </w:r>
      <w:r>
        <w:rPr>
          <w:b/>
          <w:color w:val="000000"/>
        </w:rPr>
        <w:t xml:space="preserve">:</w:t>
      </w:r>
    </w:p>
    <w:p>
      <w:pPr>
        <w:pStyle w:val="Normal"/>
        <w:tabs>
          <w:tab w:val="left" w:pos="1134" w:leader="none"/>
        </w:tabs>
        <w:ind w:firstLine="851"/>
        <w:rPr>
          <w:b/>
          <w:color w:val="000000"/>
        </w:rPr>
      </w:pPr>
      <w:r>
        <w:rPr>
          <w:snapToGrid w:val="0"/>
        </w:rPr>
        <w:t xml:space="preserve">Отдел имущественных и земельных отношений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rPr>
          <w:snapToGrid w:val="0"/>
        </w:rPr>
        <w:t xml:space="preserve">Ставропольского края </w:t>
      </w:r>
      <w:r>
        <w:t xml:space="preserve">(далее - Отдел) является органом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Ставропольского края, обладающим правами юридического лица, и осуществляющим деятельность по реализации вопросов местного значения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по владению, пользованию и распоряжению имуществом, находящимся в собственности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  <w:r>
        <w:t xml:space="preserve">.</w:t>
      </w:r>
      <w:r>
        <w:rPr>
          <w:b/>
          <w:color w:val="000000"/>
        </w:rPr>
      </w:r>
    </w:p>
    <w:p>
      <w:pPr>
        <w:pStyle w:val="Normal"/>
        <w:tabs>
          <w:tab w:val="left" w:pos="1134" w:leader="none"/>
        </w:tabs>
        <w:ind w:left="709" w:firstLine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="0" w:lineRule="atLeast"/>
        <w:ind w:firstLine="851"/>
        <w:jc w:val="center"/>
        <w:rPr>
          <w:b/>
          <w:color w:val="000000"/>
        </w:rPr>
      </w:pPr>
      <w:r>
        <w:rPr>
          <w:b/>
        </w:rPr>
        <w:t xml:space="preserve">8. </w:t>
      </w:r>
      <w:r>
        <w:rPr>
          <w:b/>
        </w:rPr>
        <w:t xml:space="preserve">По результатам экспертно-аналитического мероприятия установлено </w:t>
      </w:r>
      <w:r>
        <w:rPr>
          <w:b/>
        </w:rPr>
        <w:t xml:space="preserve">сле</w:t>
      </w:r>
      <w:r>
        <w:rPr>
          <w:b/>
        </w:rPr>
        <w:t xml:space="preserve">дующее</w:t>
      </w:r>
      <w:r>
        <w:rPr>
          <w:b/>
          <w:color w:val="000000"/>
        </w:rPr>
        <w:t xml:space="preserve">:</w:t>
      </w:r>
      <w:r>
        <w:rPr>
          <w:b/>
          <w:color w:val="000000"/>
        </w:rPr>
      </w:r>
    </w:p>
    <w:p>
      <w:pPr>
        <w:pStyle w:val="Normal"/>
        <w:spacing w:line="0" w:lineRule="atLeast"/>
        <w:ind w:firstLine="851"/>
      </w:pPr>
      <w:r>
        <w:t xml:space="preserve">1. </w:t>
      </w:r>
      <w:r>
        <w:t xml:space="preserve">Реестр муниципального имущества Петровского муниципального округа Ставропольского края (далее – </w:t>
      </w:r>
      <w:r>
        <w:t xml:space="preserve">р</w:t>
      </w:r>
      <w:r>
        <w:t xml:space="preserve">еестр муниципального имущества)  предоставлен в бумажном и электронном виде по состоянию на 27.11.2024 г. В электронном виде, согласно предоставленной информации Отделом, ведется с использованием программного продукта «БАРС-Имущество». </w:t>
      </w:r>
    </w:p>
    <w:p>
      <w:pPr>
        <w:pStyle w:val="Normal"/>
        <w:spacing w:line="0" w:lineRule="atLeast"/>
        <w:ind w:firstLine="851"/>
        <w:rPr>
          <w:bCs/>
        </w:rPr>
      </w:pPr>
      <w:r>
        <w:rPr>
          <w:bCs/>
        </w:rPr>
        <w:t xml:space="preserve">Перечень 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</w:rPr>
        <w:t xml:space="preserve"> (далее- </w:t>
      </w:r>
      <w:r>
        <w:rPr>
          <w:bCs/>
        </w:rPr>
        <w:t xml:space="preserve">п</w:t>
      </w:r>
      <w:r>
        <w:rPr>
          <w:bCs/>
        </w:rPr>
        <w:t xml:space="preserve">еречень)</w:t>
      </w:r>
      <w:r>
        <w:rPr>
          <w:bCs/>
        </w:rPr>
        <w:t xml:space="preserve"> утвержден постановлением администрации Петровского городского округа Ставропольского края от 09 июля 2019 г. № 1443 «Об утверждении Перечня 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от 15 апреля 2022 г. № 581). Перечень ведется на бумажном и электронном носителях. Перечень подлежит ежегодному дополнению муниципальным имуществом в срок до 01 ноября текущего года.</w:t>
      </w:r>
      <w:r>
        <w:rPr>
          <w:bCs/>
        </w:rPr>
        <w:t xml:space="preserve"> </w:t>
      </w:r>
      <w:r>
        <w:rPr>
          <w:bCs/>
        </w:rPr>
        <w:t xml:space="preserve">Согласно Протокола заседания рабочей группы по вопросам оказания имущественной поддержки субъектам малого и среднего предпринимательства на территории Петровского муниципального округа Ставропольского края от 01.11.2024 г. №2 данный </w:t>
      </w:r>
      <w:r>
        <w:rPr>
          <w:bCs/>
        </w:rPr>
        <w:t xml:space="preserve">п</w:t>
      </w:r>
      <w:r>
        <w:rPr>
          <w:bCs/>
        </w:rPr>
        <w:t xml:space="preserve">еречень признан актуальным по состоянию на 01.11.2024 г.</w:t>
      </w:r>
      <w:r>
        <w:rPr>
          <w:bCs/>
        </w:rPr>
      </w:r>
    </w:p>
    <w:p>
      <w:pPr>
        <w:pStyle w:val="Normal"/>
        <w:spacing w:line="0" w:lineRule="atLeast"/>
        <w:ind w:firstLine="851"/>
        <w:rPr>
          <w:bCs/>
        </w:rPr>
      </w:pPr>
      <w:r>
        <w:t xml:space="preserve">Отдел осуществляет разработку прогнозного плана (программы) приватизации объектов муниципальной собственности на очередной финансовый год. </w:t>
      </w:r>
      <w:r>
        <w:rPr>
          <w:bCs/>
        </w:rPr>
        <w:t xml:space="preserve">Решение</w:t>
      </w:r>
      <w:r>
        <w:rPr>
          <w:bCs/>
        </w:rPr>
        <w:t xml:space="preserve">м</w:t>
      </w:r>
      <w:r>
        <w:rPr>
          <w:bCs/>
        </w:rPr>
        <w:t xml:space="preserve"> Совета депутатов Петровского городского округа Ставропольского края от 23 марта 2018 г. № 23 «Об утверждении положения о приватизации муниципального имущества Петровского городского округа Ставропольского края» (в ред. </w:t>
      </w:r>
      <w:r>
        <w:fldChar w:fldCharType="begin"/>
      </w:r>
      <w:r>
        <w:instrText xml:space="preserve"> HYPERLINK "https://login.consultant.ru/link/?req=doc&amp;base=RLAW077&amp;n=152036&amp;dst=100006" </w:instrText>
      </w:r>
      <w:r>
        <w:fldChar w:fldCharType="separate"/>
      </w:r>
      <w:r>
        <w:rPr>
          <w:rStyle w:val="Hyperlink"/>
          <w:bCs/>
          <w:color w:val="000000"/>
          <w:u w:val="none"/>
          <w:lang w:val="ru-RU" w:eastAsia="ar-SA" w:bidi="ar-SA"/>
        </w:rPr>
        <w:t xml:space="preserve">Решения</w:t>
      </w:r>
      <w:r>
        <w:fldChar w:fldCharType="end"/>
      </w:r>
      <w:r>
        <w:rPr>
          <w:bCs/>
        </w:rPr>
        <w:t xml:space="preserve"> совета депутатов Петровского городского округа Ставропольского края от 23.08.2019 N 58)</w:t>
      </w:r>
      <w:r>
        <w:rPr>
          <w:bCs/>
        </w:rPr>
        <w:t xml:space="preserve"> утверждено положение о приватизации.</w:t>
      </w:r>
      <w:r>
        <w:rPr>
          <w:bCs/>
        </w:rPr>
        <w:t xml:space="preserve"> Администрация </w:t>
      </w:r>
      <w:r>
        <w:rPr>
          <w:bCs/>
        </w:rPr>
        <w:t xml:space="preserve">муниципального</w:t>
      </w:r>
      <w:r>
        <w:rPr>
          <w:bCs/>
        </w:rPr>
        <w:t xml:space="preserve"> округа ежегодно до 15 ноября одновременно с проектом бюджета Петровского </w:t>
      </w:r>
      <w:r>
        <w:rPr>
          <w:bCs/>
        </w:rPr>
        <w:t xml:space="preserve">муниципального</w:t>
      </w:r>
      <w:r>
        <w:rPr>
          <w:bCs/>
        </w:rPr>
        <w:t xml:space="preserve"> округа Ставропольского края вносит проект Прогнозного плана (программы) приватизации муниципального имущества на рассмотрение совета </w:t>
      </w:r>
      <w:r>
        <w:rPr>
          <w:bCs/>
        </w:rPr>
        <w:t xml:space="preserve">муниципального</w:t>
      </w:r>
      <w:r>
        <w:rPr>
          <w:bCs/>
        </w:rPr>
        <w:t xml:space="preserve"> округа на очередной финансовый год. </w:t>
      </w:r>
      <w:r>
        <w:rPr>
          <w:bCs/>
        </w:rPr>
        <w:t xml:space="preserve">Е</w:t>
      </w:r>
      <w:r>
        <w:rPr>
          <w:bCs/>
        </w:rPr>
        <w:t xml:space="preserve">жегодно, не позднее 1 апреля, представляет</w:t>
      </w:r>
      <w:r>
        <w:rPr>
          <w:bCs/>
        </w:rPr>
        <w:t xml:space="preserve">ся</w:t>
      </w:r>
      <w:r>
        <w:rPr>
          <w:bCs/>
        </w:rPr>
        <w:t xml:space="preserve"> в совет </w:t>
      </w:r>
      <w:r>
        <w:rPr>
          <w:bCs/>
        </w:rPr>
        <w:t xml:space="preserve">муниципального</w:t>
      </w:r>
      <w:r>
        <w:rPr>
          <w:bCs/>
        </w:rPr>
        <w:t xml:space="preserve"> округа отчет о выполнении Прогнозного плана (программы) приватизации муниципального имущества за прошедший год.</w:t>
      </w:r>
      <w:r>
        <w:rPr>
          <w:bCs/>
        </w:rPr>
      </w:r>
    </w:p>
    <w:p>
      <w:pPr>
        <w:pStyle w:val="Normal"/>
        <w:spacing w:line="0" w:lineRule="atLeast"/>
        <w:ind w:firstLine="851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 </w:t>
      </w:r>
      <w:r>
        <w:rPr>
          <w:bCs/>
        </w:rPr>
        <w:t xml:space="preserve">Информация о муниципальном имуществе размещена на сайте администрации Петровского муниципального округа Ставропольского края в разделе – Общество</w:t>
      </w:r>
      <w:r>
        <w:rPr>
          <w:bCs/>
        </w:rPr>
        <w:t xml:space="preserve"> </w:t>
      </w:r>
      <w:r>
        <w:rPr>
          <w:bCs/>
        </w:rPr>
        <w:t xml:space="preserve">- Направление деятельности – Земля и имущество </w:t>
      </w:r>
      <w:r>
        <w:rPr>
          <w:bCs/>
        </w:rPr>
        <w:fldChar w:fldCharType="begin"/>
      </w:r>
      <w:r>
        <w:rPr>
          <w:bCs/>
        </w:rPr>
        <w:instrText xml:space="preserve"> HYPERLINK "https://petrovskij-r07.gosweb.gosuslugi.ru/obschestvo/napravleniya-deyatelnosti/zemlya-i-imuschestvo/" </w:instrText>
      </w:r>
      <w:r>
        <w:rPr>
          <w:bCs/>
        </w:rPr>
        <w:fldChar w:fldCharType="separate"/>
      </w:r>
      <w:r>
        <w:rPr>
          <w:rStyle w:val="Hyperlink"/>
          <w:bCs/>
          <w:lang w:val="ru-RU" w:eastAsia="ar-SA" w:bidi="ar-SA"/>
        </w:rPr>
        <w:t xml:space="preserve">https://petrovskij-r07.gosweb.gosuslugi.ru/obschestvo/napravleniya-deyatelnosti/zemlya-i-imuschestvo/</w:t>
      </w:r>
      <w:r>
        <w:rPr>
          <w:bCs/>
        </w:rPr>
        <w:fldChar w:fldCharType="end"/>
      </w:r>
      <w:r>
        <w:rPr>
          <w:bCs/>
        </w:rPr>
        <w:t xml:space="preserve"> :</w:t>
      </w:r>
      <w:r>
        <w:rPr>
          <w:bCs/>
        </w:rPr>
      </w:r>
    </w:p>
    <w:p>
      <w:pPr>
        <w:pStyle w:val="Normal"/>
        <w:spacing w:line="0" w:lineRule="atLeast"/>
        <w:ind w:firstLine="851"/>
        <w:rPr>
          <w:bCs/>
        </w:rPr>
      </w:pPr>
      <w:r>
        <w:rPr>
          <w:bCs/>
        </w:rPr>
        <w:t xml:space="preserve">- </w:t>
      </w:r>
      <w:r>
        <w:rPr>
          <w:bCs/>
        </w:rPr>
        <w:t xml:space="preserve">Сведения об объектах муниципального имущества, учтенных в реестре муниципального имущества Петровского муниципального округа Ставропольского края, размещаемых в открытом доступе в информационно-телекоммуникационной сети «Интернет» в соответствии с требованиями распоряжения Правительства Российской Федерации от 30.11.2023 г. №3439-р</w:t>
      </w:r>
      <w:r>
        <w:rPr>
          <w:bCs/>
        </w:rPr>
        <w:t xml:space="preserve"> размещены на сайте </w:t>
      </w:r>
      <w:r>
        <w:rPr>
          <w:bCs/>
        </w:rPr>
        <w:fldChar w:fldCharType="begin"/>
      </w:r>
      <w:r>
        <w:rPr>
          <w:bCs/>
        </w:rPr>
        <w:instrText xml:space="preserve"> HYPERLINK "</w:instrText>
      </w:r>
      <w:r>
        <w:rPr>
          <w:bCs/>
        </w:rPr>
        <w:instrText xml:space="preserve">https://petrovskij-r07.gosweb.gosuslugi.ru/obschestvo/napravleniya-deyatelnosti/zemlya-i-imuschestvo/svedeniya-ob-obektah-munitsipalnogo-imuschestva/svedeniya-ob-obektah-munitsipalnogo-imuschestva-uchtennyh-v-rees_7443.html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>
        <w:rPr>
          <w:rStyle w:val="Hyperlink"/>
          <w:bCs/>
          <w:lang w:val="ru-RU" w:eastAsia="ar-SA" w:bidi="ar-SA"/>
        </w:rPr>
        <w:t xml:space="preserve">https://petrovskij-r07.gosweb.gosuslugi.ru/obschestvo/napravleniya-deyatelnosti/zemlya-i-imuschestvo/svedeniya-ob-obektah-munitsipalnogo-imuschestva/svedeniya-ob-obektah-munitsipalnogo-imuschestva-uchtennyh-v-rees_7443.html</w:t>
      </w:r>
      <w:r>
        <w:rPr>
          <w:bCs/>
        </w:rPr>
        <w:fldChar w:fldCharType="end"/>
      </w:r>
      <w:r>
        <w:rPr>
          <w:bCs/>
        </w:rPr>
        <w:t xml:space="preserve"> , сведения актуальны на 03.12.2024 г. и соответствуют предоставленному реестру муниципального имущества;</w:t>
      </w:r>
      <w:r>
        <w:rPr>
          <w:bCs/>
        </w:rPr>
      </w:r>
    </w:p>
    <w:p>
      <w:pPr>
        <w:pStyle w:val="Normal"/>
        <w:spacing w:line="0" w:lineRule="atLeast"/>
        <w:ind w:firstLine="851"/>
        <w:rPr>
          <w:bCs/>
        </w:rPr>
      </w:pPr>
      <w:r>
        <w:rPr>
          <w:bCs/>
        </w:rPr>
        <w:t xml:space="preserve">- </w:t>
      </w:r>
      <w:r>
        <w:rPr>
          <w:bCs/>
        </w:rPr>
        <w:t xml:space="preserve">п</w:t>
      </w:r>
      <w:r>
        <w:rPr>
          <w:bCs/>
        </w:rPr>
        <w:t xml:space="preserve">еречень размещен на сайте </w:t>
      </w:r>
      <w:r>
        <w:rPr>
          <w:bCs/>
        </w:rPr>
        <w:fldChar w:fldCharType="begin"/>
      </w:r>
      <w:r>
        <w:rPr>
          <w:bCs/>
        </w:rPr>
        <w:instrText xml:space="preserve"> HYPERLINK "</w:instrText>
      </w:r>
      <w:r>
        <w:rPr>
          <w:bCs/>
        </w:rPr>
        <w:instrText xml:space="preserve">https://petrgosk.gosuslugi.ru/obschestvo/napravleniya-deyatelnosti/zemlya-i-imuschestvo/informatsiya-ob-obektah/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>
        <w:rPr>
          <w:rStyle w:val="Hyperlink"/>
          <w:bCs/>
          <w:lang w:val="ru-RU" w:eastAsia="ar-SA" w:bidi="ar-SA"/>
        </w:rPr>
        <w:t xml:space="preserve">https://petrgosk.gosuslugi.ru/obschestvo/napravleniya-deyatelnosti/zemlya-i-imuschestvo/informatsiya-ob-obektah/</w:t>
      </w:r>
      <w:r>
        <w:rPr>
          <w:bCs/>
        </w:rPr>
        <w:fldChar w:fldCharType="end"/>
      </w:r>
      <w:r>
        <w:rPr>
          <w:bCs/>
        </w:rPr>
        <w:t xml:space="preserve">, последние изменения на сайте опубликованы 06.03.2024г. и соответствуют актуальному </w:t>
      </w:r>
      <w:r>
        <w:rPr>
          <w:bCs/>
        </w:rPr>
        <w:t xml:space="preserve">п</w:t>
      </w:r>
      <w:r>
        <w:rPr>
          <w:bCs/>
        </w:rPr>
        <w:t xml:space="preserve">еречню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С</w:t>
      </w:r>
      <w:r>
        <w:rPr>
          <w:bCs/>
        </w:rPr>
        <w:t xml:space="preserve">ледует отметить, что в </w:t>
      </w:r>
      <w:r>
        <w:rPr>
          <w:bCs/>
        </w:rPr>
        <w:t xml:space="preserve">п</w:t>
      </w:r>
      <w:r>
        <w:rPr>
          <w:bCs/>
        </w:rPr>
        <w:t xml:space="preserve">еречне в порядковом номере 20 в наименовании адреса допущена орфографическая ошибка в слове «Колосов», в связи с тем, что в реестре числится «Колосок»</w:t>
      </w:r>
      <w:r>
        <w:rPr>
          <w:bCs/>
        </w:rPr>
        <w:t xml:space="preserve">;</w:t>
      </w:r>
    </w:p>
    <w:p>
      <w:pPr>
        <w:pStyle w:val="Normal"/>
        <w:spacing w:line="0" w:lineRule="atLeast"/>
        <w:ind w:firstLine="851"/>
        <w:rPr>
          <w:rStyle w:val="Hyperlink"/>
          <w:u w:val="none"/>
          <w:lang w:val="ru-RU"/>
        </w:rPr>
      </w:pPr>
      <w:r>
        <w:rPr>
          <w:bCs/>
        </w:rPr>
        <w:t xml:space="preserve">- </w:t>
      </w:r>
      <w:r>
        <w:t xml:space="preserve">прогнозн</w:t>
      </w:r>
      <w:r>
        <w:t xml:space="preserve">ый</w:t>
      </w:r>
      <w:r>
        <w:t xml:space="preserve"> план (программ</w:t>
      </w:r>
      <w:r>
        <w:t xml:space="preserve">а</w:t>
      </w:r>
      <w:r>
        <w:t xml:space="preserve">) приватизации объектов муниципальной собственности на </w:t>
      </w:r>
      <w:r>
        <w:t xml:space="preserve">2024 год</w:t>
      </w:r>
      <w:r>
        <w:t xml:space="preserve"> с изменениями</w:t>
      </w:r>
      <w:r>
        <w:t xml:space="preserve"> размещены </w:t>
      </w:r>
      <w:r>
        <w:t xml:space="preserve">на с</w:t>
      </w:r>
      <w:r>
        <w:t xml:space="preserve">а</w:t>
      </w:r>
      <w:r>
        <w:t xml:space="preserve">йте </w:t>
      </w:r>
      <w:r>
        <w:fldChar w:fldCharType="begin"/>
      </w:r>
      <w:r>
        <w:instrText xml:space="preserve"> HYPERLINK "</w:instrText>
      </w:r>
      <w:r>
        <w:instrText xml:space="preserve">https://petrovskij-r07.gosweb.gosuslugi.ru/obschestvo/napravleniya-deyatelnosti/zemlya-i-imuschestvo/ob-usloviyah-privatizatsii-munitsipalnogo-imuschestva/</w:instrText>
      </w:r>
      <w:r>
        <w:instrText xml:space="preserve">" </w:instrText>
      </w:r>
      <w:r>
        <w:fldChar w:fldCharType="separate"/>
      </w:r>
      <w:r>
        <w:rPr>
          <w:rStyle w:val="Hyperlink"/>
          <w:lang w:val="ru-RU" w:eastAsia="ar-SA" w:bidi="ar-SA"/>
        </w:rPr>
        <w:t xml:space="preserve">https://petrovskij-r07.gosweb.gosuslugi.ru/obschestvo/napravleniya-deyatelnosti/zemlya-i-imuschestvo/ob-usloviyah-privatizatsii-munitsipalnogo-imuschestva/</w:t>
      </w:r>
      <w:r>
        <w:fldChar w:fldCharType="end"/>
      </w:r>
      <w:r>
        <w:t xml:space="preserve"> , данные актуальны на 11.11.2024 г. и размещенная информация соответствует всем изменениям, а так же на сайте ГИСТорги </w:t>
      </w:r>
      <w:r>
        <w:fldChar w:fldCharType="begin"/>
      </w:r>
      <w:r>
        <w:instrText xml:space="preserve"> HYPERLINK "https://torgi.gov.ru/new/public/privatization-plans/view/65e1d63a217742082762d587" </w:instrText>
      </w:r>
      <w:r>
        <w:fldChar w:fldCharType="separate"/>
      </w:r>
      <w:r>
        <w:rPr>
          <w:rStyle w:val="Hyperlink"/>
        </w:rPr>
        <w:t xml:space="preserve">https://torgi.gov.ru/new/public/privatization-plans/view/65e1d63a217742082762d587</w:t>
      </w:r>
      <w:r>
        <w:rPr>
          <w:rStyle w:val="Hyperlink"/>
        </w:rPr>
        <w:fldChar w:fldCharType="end"/>
      </w:r>
      <w:r>
        <w:rPr>
          <w:rStyle w:val="Hyperlink"/>
          <w:u w:val="none"/>
          <w:lang w:val="ru-RU"/>
        </w:rPr>
        <w:t xml:space="preserve">, </w:t>
      </w:r>
      <w:r>
        <w:rPr>
          <w:rStyle w:val="Hyperlink"/>
          <w:color w:val="000000"/>
          <w:u w:val="none"/>
          <w:lang w:val="ru-RU"/>
        </w:rPr>
        <w:t xml:space="preserve">вносимые изменения</w:t>
      </w:r>
      <w:r>
        <w:rPr>
          <w:rStyle w:val="Hyperlink"/>
          <w:color w:val="000000"/>
          <w:u w:val="none"/>
          <w:lang w:val="ru-RU"/>
        </w:rPr>
        <w:t xml:space="preserve">: </w:t>
      </w:r>
      <w:r>
        <w:rPr>
          <w:lang w:eastAsia="en-US" w:bidi="en-US"/>
        </w:rPr>
        <w:fldChar w:fldCharType="begin"/>
      </w:r>
      <w:r>
        <w:rPr>
          <w:lang w:eastAsia="en-US" w:bidi="en-US"/>
        </w:rPr>
        <w:instrText xml:space="preserve"> HYPERLINK "</w:instrText>
      </w:r>
      <w:r>
        <w:rPr>
          <w:lang w:eastAsia="en-US" w:bidi="en-US"/>
        </w:rPr>
        <w:instrText xml:space="preserve">https://torgi.gov.ru/new/public/privatization-plans/view/65e1d63a217742082762d587</w:instrText>
      </w:r>
      <w:r>
        <w:rPr>
          <w:lang w:eastAsia="en-US" w:bidi="en-US"/>
        </w:rPr>
        <w:instrText xml:space="preserve">" </w:instrText>
      </w:r>
      <w:r>
        <w:rPr>
          <w:lang w:eastAsia="en-US" w:bidi="en-US"/>
        </w:rPr>
        <w:fldChar w:fldCharType="separate"/>
      </w:r>
      <w:r>
        <w:rPr>
          <w:rStyle w:val="Hyperlink"/>
          <w:lang w:val="ru-RU"/>
        </w:rPr>
        <w:t xml:space="preserve">https://torgi.gov.ru/new/public/privatization-plans/view/65e1d63a217742082762d587</w:t>
      </w:r>
      <w:r>
        <w:rPr>
          <w:lang w:eastAsia="en-US" w:bidi="en-US"/>
        </w:rPr>
        <w:fldChar w:fldCharType="end"/>
      </w:r>
      <w:r>
        <w:rPr>
          <w:lang w:eastAsia="en-US" w:bidi="en-US"/>
        </w:rPr>
        <w:t xml:space="preserve">,</w:t>
      </w:r>
      <w:r>
        <w:rPr>
          <w:lang w:eastAsia="en-US" w:bidi="en-US"/>
        </w:rPr>
        <w:t xml:space="preserve"> </w:t>
      </w:r>
      <w:r>
        <w:rPr>
          <w:lang w:eastAsia="en-US" w:bidi="en-US"/>
        </w:rPr>
        <w:fldChar w:fldCharType="begin"/>
      </w:r>
      <w:r>
        <w:rPr>
          <w:lang w:eastAsia="en-US" w:bidi="en-US"/>
        </w:rPr>
        <w:instrText xml:space="preserve"> HYPERLINK "https://torgi.gov.ru/new/public/privatization-plans/view/6731a244b2da9e35fc770054" </w:instrText>
      </w:r>
      <w:r>
        <w:rPr>
          <w:lang w:eastAsia="en-US" w:bidi="en-US"/>
        </w:rPr>
        <w:fldChar w:fldCharType="separate"/>
      </w:r>
      <w:r>
        <w:rPr>
          <w:rStyle w:val="Hyperlink"/>
          <w:lang w:val="ru-RU"/>
        </w:rPr>
        <w:t xml:space="preserve">https://torgi.gov.ru/new/public/privatization-plans/view/6731a244b2da9e35fc770054</w:t>
      </w:r>
      <w:r>
        <w:rPr>
          <w:lang w:eastAsia="en-US" w:bidi="en-US"/>
        </w:rPr>
        <w:fldChar w:fldCharType="end"/>
      </w:r>
      <w:r>
        <w:rPr>
          <w:rStyle w:val="Hyperlink"/>
          <w:u w:val="none"/>
          <w:lang w:val="ru-RU"/>
        </w:rPr>
        <w:t xml:space="preserve"> ;</w:t>
      </w:r>
    </w:p>
    <w:p>
      <w:pPr>
        <w:pStyle w:val="Normal"/>
        <w:spacing w:line="0" w:lineRule="atLeast"/>
        <w:ind w:firstLine="851"/>
        <w:rPr>
          <w:bCs/>
        </w:rPr>
      </w:pPr>
      <w:r>
        <w:rPr>
          <w:rStyle w:val="Hyperlink"/>
          <w:u w:val="none"/>
          <w:lang w:val="ru-RU"/>
        </w:rPr>
        <w:t xml:space="preserve">- </w:t>
      </w:r>
      <w:r>
        <w:rPr>
          <w:rStyle w:val="Hyperlink"/>
          <w:color w:val="000000"/>
          <w:u w:val="none"/>
          <w:lang w:val="ru-RU"/>
        </w:rPr>
        <w:t xml:space="preserve">о</w:t>
      </w:r>
      <w:r>
        <w:rPr>
          <w:bCs/>
        </w:rPr>
        <w:t xml:space="preserve">тчет об исполнении Прогнозного плана (программы) приватизации муниципального имущества Петровского городского округа Ставропольского края за 2023 год</w:t>
      </w:r>
      <w:r>
        <w:rPr>
          <w:bCs/>
        </w:rPr>
        <w:t xml:space="preserve"> размещен на сайте </w:t>
      </w:r>
      <w:r>
        <w:rPr>
          <w:bCs/>
        </w:rPr>
        <w:fldChar w:fldCharType="begin"/>
      </w:r>
      <w:r>
        <w:rPr>
          <w:bCs/>
        </w:rPr>
        <w:instrText xml:space="preserve"> HYPERLINK "</w:instrText>
      </w:r>
      <w:r>
        <w:rPr>
          <w:bCs/>
        </w:rPr>
        <w:instrText xml:space="preserve">https://petrovskij-r07.gosweb.gosuslugi.ru/ofitsialno/struktura-munitsipalnogo-obrazovaniya/sovet-deputatov-1/resheniya-soveta-deputatov/resheniya-2024-god/resheniya-2024-god_5931.html</w:instrText>
      </w:r>
      <w:r>
        <w:rPr>
          <w:bCs/>
        </w:rPr>
        <w:instrText xml:space="preserve"> опубликованы 05.03.2024" </w:instrText>
      </w:r>
      <w:r>
        <w:rPr>
          <w:bCs/>
        </w:rPr>
        <w:fldChar w:fldCharType="separate"/>
      </w:r>
      <w:r>
        <w:rPr>
          <w:rStyle w:val="Hyperlink"/>
          <w:bCs/>
          <w:lang w:val="ru-RU" w:eastAsia="ar-SA" w:bidi="ar-SA"/>
        </w:rPr>
        <w:t xml:space="preserve">https://petrovskij-r07.gosweb.gosuslugi.ru/ofitsialno/struktura-munitsipalnogo-obrazovaniya/sovet-deputatov-1/resheniya-soveta-deputatov/resheniya-2024-god/resheniya-2024-god_5931.html</w:t>
      </w:r>
      <w:r>
        <w:rPr>
          <w:rStyle w:val="Hyperlink"/>
          <w:bCs/>
          <w:u w:val="none"/>
          <w:lang w:val="ru-RU" w:eastAsia="ar-SA" w:bidi="ar-SA"/>
        </w:rPr>
        <w:t xml:space="preserve"> </w:t>
      </w:r>
      <w:r>
        <w:rPr>
          <w:rStyle w:val="Hyperlink"/>
          <w:bCs/>
          <w:color w:val="000000"/>
          <w:u w:val="none"/>
          <w:lang w:val="ru-RU" w:eastAsia="ar-SA" w:bidi="ar-SA"/>
        </w:rPr>
        <w:t xml:space="preserve">опубликованы 05.03.2024</w:t>
      </w:r>
      <w:r>
        <w:rPr>
          <w:bCs/>
        </w:rPr>
        <w:fldChar w:fldCharType="end"/>
      </w:r>
      <w:r>
        <w:rPr>
          <w:bCs/>
        </w:rPr>
        <w:t xml:space="preserve"> г.</w:t>
      </w:r>
      <w:r>
        <w:rPr>
          <w:bCs/>
        </w:rPr>
        <w:t xml:space="preserve">, данные соответствуют утвержденному</w:t>
      </w:r>
      <w:r>
        <w:rPr>
          <w:bCs/>
        </w:rPr>
        <w:t xml:space="preserve"> отчету;</w:t>
      </w:r>
    </w:p>
    <w:p>
      <w:pPr>
        <w:pStyle w:val="Normal"/>
        <w:spacing w:line="0" w:lineRule="atLeast"/>
        <w:ind w:firstLine="851"/>
        <w:rPr>
          <w:bCs/>
        </w:rPr>
      </w:pPr>
      <w:r>
        <w:rPr>
          <w:bCs/>
        </w:rPr>
        <w:t xml:space="preserve">- </w:t>
      </w:r>
      <w:r>
        <w:rPr>
          <w:bCs/>
        </w:rPr>
        <w:t xml:space="preserve">на сайте размещается иная информация о муниципальном имуществе, например: извещения о проведении общего собрания участников долевой собственности на земельный участок; информирование о возможности предоставления земельного участка из земель населенных пунктов в аренду; информационные сообщения о продаже муниципального имущества и др.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1"/>
        <w:jc w:val="center"/>
      </w:pPr>
      <w:r>
        <w:rPr>
          <w:b/>
        </w:rPr>
        <w:t xml:space="preserve">9. </w:t>
      </w:r>
      <w:r>
        <w:rPr>
          <w:b/>
        </w:rPr>
        <w:t xml:space="preserve">Выводы:</w:t>
      </w:r>
      <w:r>
        <w:t xml:space="preserve"> </w:t>
      </w:r>
    </w:p>
    <w:p>
      <w:pPr>
        <w:pStyle w:val="Normal"/>
        <w:spacing w:line="0" w:lineRule="atLeast"/>
        <w:ind w:firstLine="851"/>
      </w:pPr>
      <w:r>
        <w:t xml:space="preserve">Контрольно-счетная палата Петровского муниципального округа Ставропольского края р</w:t>
      </w:r>
      <w:r>
        <w:t xml:space="preserve">екомендуе</w:t>
      </w:r>
      <w:r>
        <w:t xml:space="preserve">т</w:t>
      </w:r>
      <w:r>
        <w:t xml:space="preserve"> относиться ответственно к ведению реестра муниципального имущества. С</w:t>
      </w:r>
      <w:r>
        <w:t xml:space="preserve"> целью актуализации сведений в реестре муниципального имущества и контроля за сохранностью муниципального имущества периодически проводить сверку с централизованной бухгалтерией, проводить инвентаризацию реестра муниципального имущества</w:t>
      </w:r>
      <w:r>
        <w:t xml:space="preserve">.</w:t>
      </w:r>
      <w:r>
        <w:t xml:space="preserve"> </w:t>
      </w:r>
      <w:r>
        <w:t xml:space="preserve">С</w:t>
      </w:r>
      <w:r>
        <w:t xml:space="preserve"> целью</w:t>
      </w:r>
      <w:r>
        <w:t xml:space="preserve"> определения точного местоположения</w:t>
      </w:r>
      <w:r>
        <w:t xml:space="preserve"> уточнить адреса земельных участков с общими формулировками, например: «край Ставропольский, р-н Петровский, г. Светлоград</w:t>
      </w:r>
      <w:r>
        <w:t xml:space="preserve">», «Ставропольский</w:t>
      </w:r>
      <w:r>
        <w:t xml:space="preserve"> край</w:t>
      </w:r>
      <w:r>
        <w:t xml:space="preserve">, р-н Петровский, г. Светлоград, садовое товарищество «</w:t>
      </w:r>
      <w:r>
        <w:t xml:space="preserve">Колосок</w:t>
      </w:r>
      <w:r>
        <w:t xml:space="preserve">»»</w:t>
      </w:r>
      <w:r>
        <w:t xml:space="preserve"> и др.</w:t>
      </w:r>
    </w:p>
    <w:p>
      <w:pPr>
        <w:pStyle w:val="Normal"/>
        <w:spacing w:line="0" w:lineRule="atLeast"/>
        <w:ind w:firstLine="851"/>
      </w:pPr>
      <w:r>
        <w:t xml:space="preserve"> </w:t>
      </w:r>
      <w:r>
        <w:t xml:space="preserve"> </w:t>
      </w:r>
    </w:p>
    <w:p>
      <w:pPr>
        <w:pStyle w:val="Normal"/>
        <w:spacing w:line="0" w:lineRule="atLeast"/>
        <w:ind w:firstLine="850"/>
        <w:jc w:val="center"/>
        <w:rPr>
          <w:b/>
        </w:rPr>
      </w:pPr>
      <w:r>
        <w:rPr>
          <w:b/>
        </w:rPr>
        <w:t xml:space="preserve">10. </w:t>
      </w:r>
      <w:r>
        <w:rPr>
          <w:b/>
        </w:rPr>
        <w:t xml:space="preserve">Предложения</w:t>
      </w:r>
      <w:r>
        <w:rPr>
          <w:b/>
        </w:rPr>
        <w:t xml:space="preserve">:</w:t>
      </w:r>
      <w:r>
        <w:rPr>
          <w:b/>
        </w:rPr>
      </w:r>
    </w:p>
    <w:p>
      <w:pPr>
        <w:pStyle w:val="Normal"/>
        <w:spacing w:line="0" w:lineRule="atLeast"/>
        <w:ind w:firstLine="851"/>
        <w:rPr>
          <w:spacing w:val="-4"/>
        </w:rPr>
      </w:pPr>
      <w:r>
        <w:t xml:space="preserve">1. </w:t>
      </w:r>
      <w:r>
        <w:t xml:space="preserve">Направить отчет о результатах </w:t>
      </w:r>
      <w:r>
        <w:t xml:space="preserve">экспертно-аналитического мероприятия </w:t>
      </w:r>
      <w:r>
        <w:t xml:space="preserve">«</w:t>
      </w:r>
      <w:r>
        <w:rPr>
          <w:color w:val="0d0d0d"/>
          <w:spacing w:val="-4"/>
        </w:rPr>
        <w:t xml:space="preserve">Оценка эффективности осуществления мероприятий по учету, управлению имуществом, находящимся в собственности Петровского муниципального округа Ставропольского края»</w:t>
      </w:r>
      <w:r>
        <w:rPr>
          <w:spacing w:val="-4"/>
        </w:rPr>
        <w:t xml:space="preserve">:</w:t>
      </w:r>
    </w:p>
    <w:p>
      <w:pPr>
        <w:pStyle w:val="Normal"/>
        <w:spacing w:line="0" w:lineRule="atLeast"/>
        <w:ind w:firstLine="851"/>
      </w:pPr>
      <w:r>
        <w:t xml:space="preserve">- Председателю Совета депутатов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  <w:r>
        <w:t xml:space="preserve"> -</w:t>
      </w:r>
      <w:r>
        <w:t xml:space="preserve"> Лагунову В.О.</w:t>
      </w:r>
    </w:p>
    <w:p>
      <w:pPr>
        <w:pStyle w:val="Normal"/>
        <w:spacing w:line="0" w:lineRule="atLeast"/>
        <w:ind w:firstLine="851"/>
      </w:pPr>
    </w:p>
    <w:p>
      <w:pPr>
        <w:pStyle w:val="Normal"/>
        <w:spacing w:line="0" w:lineRule="atLeast"/>
        <w:ind w:firstLine="851"/>
      </w:pPr>
    </w:p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p>
      <w:pPr>
        <w:pStyle w:val="Normal"/>
        <w:tabs>
          <w:tab w:val="left" w:pos="3330" w:leader="none"/>
          <w:tab w:val="left" w:pos="7305" w:leader="none"/>
        </w:tabs>
        <w:spacing w:line="0" w:lineRule="atLeast"/>
        <w:ind w:firstLine="851"/>
      </w:pP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928"/>
        <w:gridCol w:w="4536"/>
      </w:tblGrid>
      <w:tr>
        <w:trPr/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330" w:leader="none"/>
                <w:tab w:val="left" w:pos="7305" w:leader="none"/>
              </w:tabs>
              <w:spacing w:line="0" w:lineRule="atLeast"/>
              <w:ind w:firstLine="0"/>
              <w:jc w:val="left"/>
            </w:pPr>
            <w:r>
              <w:t xml:space="preserve">Инспектор Контрольно-счетной палаты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spacing w:line="0" w:lineRule="atLeast"/>
              <w:jc w:val="right"/>
            </w:pPr>
            <w:r>
              <w:t xml:space="preserve">Меркулова Ю.С.</w:t>
            </w:r>
          </w:p>
        </w:tc>
      </w:tr>
    </w:tbl>
    <w:p>
      <w:pPr>
        <w:pStyle w:val="Normal"/>
        <w:ind w:firstLine="0"/>
      </w:pPr>
    </w:p>
    <w:p>
      <w:pPr>
        <w:pStyle w:val="Normal"/>
        <w:ind w:firstLine="0"/>
      </w:pPr>
    </w:p>
    <w:p>
      <w:pPr>
        <w:pStyle w:val="Normal"/>
        <w:ind w:firstLine="0"/>
      </w:pPr>
    </w:p>
    <w:sectPr>
      <w:headerReference w:type="default" r:id="rId7"/>
      <w:footerReference w:type="default" r:id="rId8"/>
      <w:type w:val="nextPage"/>
      <w:pgSz w:w="11906" w:h="16838"/>
      <w:pgMar w:top="284" w:right="851" w:bottom="851" w:left="1875" w:header="85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Cambria">
    <w:panose1 w:val="0204050305040603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121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3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0" w:hanging="180"/>
      </w:pPr>
    </w:lvl>
  </w:abstractNum>
  <w:abstractNum w:abstractNumId="4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129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1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3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5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7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9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1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3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53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2" w:hanging="360"/>
      </w:pPr>
      <w:rPr>
        <w:rFonts w:eastAsia="Calibri"/>
        <w:b w:val="0"/>
        <w:color w:val="0d0d0d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2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b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45" w:hanging="7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86" w:hanging="73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4" w:hanging="281"/>
        <w:jc w:val="right"/>
      </w:pPr>
      <w:rPr>
        <w:rFonts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2138" w:hanging="281"/>
      </w:pPr>
      <w:rPr>
        <w:lang w:val="ru-RU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3057" w:hanging="281"/>
      </w:pPr>
      <w:rPr>
        <w:lang w:val="ru-RU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975" w:hanging="281"/>
      </w:pPr>
      <w:rPr>
        <w:lang w:val="ru-RU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894" w:hanging="281"/>
      </w:pPr>
      <w:rPr>
        <w:lang w:val="ru-RU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813" w:hanging="281"/>
      </w:pPr>
      <w:rPr>
        <w:lang w:val="ru-RU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731" w:hanging="281"/>
      </w:pPr>
      <w:rPr>
        <w:lang w:val="ru-RU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7650" w:hanging="281"/>
      </w:pPr>
      <w:rPr>
        <w:lang w:val="ru-RU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8569" w:hanging="281"/>
      </w:pPr>
      <w:rPr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b w:val="0"/>
        <w:i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4" w:hanging="281"/>
        <w:jc w:val="right"/>
      </w:pPr>
      <w:rPr>
        <w:rFonts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suff w:val="tab"/>
      <w:lvlText w:val="•"/>
      <w:lvlJc w:val="left"/>
      <w:pPr>
        <w:pStyle w:val="Normal"/>
        <w:ind w:left="2138" w:hanging="281"/>
      </w:pPr>
      <w:rPr>
        <w:lang w:val="ru-RU" w:eastAsia="en-US" w:bidi="ar-SA"/>
      </w:rPr>
    </w:lvl>
    <w:lvl w:ilvl="2">
      <w:start w:val="0"/>
      <w:numFmt w:val="bullet"/>
      <w:suff w:val="tab"/>
      <w:lvlText w:val="•"/>
      <w:lvlJc w:val="left"/>
      <w:pPr>
        <w:pStyle w:val="Normal"/>
        <w:ind w:left="3057" w:hanging="281"/>
      </w:pPr>
      <w:rPr>
        <w:lang w:val="ru-RU" w:eastAsia="en-US" w:bidi="ar-SA"/>
      </w:rPr>
    </w:lvl>
    <w:lvl w:ilvl="3">
      <w:start w:val="0"/>
      <w:numFmt w:val="bullet"/>
      <w:suff w:val="tab"/>
      <w:lvlText w:val="•"/>
      <w:lvlJc w:val="left"/>
      <w:pPr>
        <w:pStyle w:val="Normal"/>
        <w:ind w:left="3975" w:hanging="281"/>
      </w:pPr>
      <w:rPr>
        <w:lang w:val="ru-RU" w:eastAsia="en-US" w:bidi="ar-SA"/>
      </w:rPr>
    </w:lvl>
    <w:lvl w:ilvl="4">
      <w:start w:val="0"/>
      <w:numFmt w:val="bullet"/>
      <w:suff w:val="tab"/>
      <w:lvlText w:val="•"/>
      <w:lvlJc w:val="left"/>
      <w:pPr>
        <w:pStyle w:val="Normal"/>
        <w:ind w:left="4894" w:hanging="281"/>
      </w:pPr>
      <w:rPr>
        <w:lang w:val="ru-RU" w:eastAsia="en-US" w:bidi="ar-SA"/>
      </w:rPr>
    </w:lvl>
    <w:lvl w:ilvl="5">
      <w:start w:val="0"/>
      <w:numFmt w:val="bullet"/>
      <w:suff w:val="tab"/>
      <w:lvlText w:val="•"/>
      <w:lvlJc w:val="left"/>
      <w:pPr>
        <w:pStyle w:val="Normal"/>
        <w:ind w:left="5813" w:hanging="281"/>
      </w:pPr>
      <w:rPr>
        <w:lang w:val="ru-RU" w:eastAsia="en-US" w:bidi="ar-SA"/>
      </w:rPr>
    </w:lvl>
    <w:lvl w:ilvl="6">
      <w:start w:val="0"/>
      <w:numFmt w:val="bullet"/>
      <w:suff w:val="tab"/>
      <w:lvlText w:val="•"/>
      <w:lvlJc w:val="left"/>
      <w:pPr>
        <w:pStyle w:val="Normal"/>
        <w:ind w:left="6731" w:hanging="281"/>
      </w:pPr>
      <w:rPr>
        <w:lang w:val="ru-RU" w:eastAsia="en-US" w:bidi="ar-SA"/>
      </w:rPr>
    </w:lvl>
    <w:lvl w:ilvl="7">
      <w:start w:val="0"/>
      <w:numFmt w:val="bullet"/>
      <w:suff w:val="tab"/>
      <w:lvlText w:val="•"/>
      <w:lvlJc w:val="left"/>
      <w:pPr>
        <w:pStyle w:val="Normal"/>
        <w:ind w:left="7650" w:hanging="281"/>
      </w:pPr>
      <w:rPr>
        <w:lang w:val="ru-RU" w:eastAsia="en-US" w:bidi="ar-SA"/>
      </w:rPr>
    </w:lvl>
    <w:lvl w:ilvl="8">
      <w:start w:val="0"/>
      <w:numFmt w:val="bullet"/>
      <w:suff w:val="tab"/>
      <w:lvlText w:val="•"/>
      <w:lvlJc w:val="left"/>
      <w:pPr>
        <w:pStyle w:val="Normal"/>
        <w:ind w:left="8569" w:hanging="281"/>
      </w:pPr>
      <w:rPr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709"/>
      <w:jc w:val="both"/>
    </w:pPr>
    <w:rPr>
      <w:rFonts w:eastAsia="Calibri"/>
      <w:sz w:val="28"/>
      <w:szCs w:val="28"/>
      <w:lang w:val="ru-RU" w:eastAsia="ar-SA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Absatz-Standardschriftart"/>
    <w:next w:val="UserStyle_1"/>
    <w:link w:val="Normal"/>
  </w:style>
  <w:style w:type="character" w:styleId="UserStyle_2">
    <w:name w:val="WW-Absatz-Standardschriftart"/>
    <w:next w:val="UserStyle_2"/>
    <w:link w:val="Normal"/>
  </w:style>
  <w:style w:type="character" w:styleId="UserStyle_3">
    <w:name w:val="WW-Absatz-Standardschriftart1"/>
    <w:next w:val="UserStyle_3"/>
    <w:link w:val="Normal"/>
  </w:style>
  <w:style w:type="character" w:styleId="UserStyle_4">
    <w:name w:val="WW-Absatz-Standardschriftart11"/>
    <w:next w:val="UserStyle_4"/>
    <w:link w:val="Normal"/>
  </w:style>
  <w:style w:type="character" w:styleId="UserStyle_5">
    <w:name w:val="WW-Absatz-Standardschriftart111"/>
    <w:next w:val="UserStyle_5"/>
    <w:link w:val="Normal"/>
  </w:style>
  <w:style w:type="character" w:styleId="UserStyle_6">
    <w:name w:val="WW-Absatz-Standardschriftart1111"/>
    <w:next w:val="UserStyle_6"/>
    <w:link w:val="Normal"/>
  </w:style>
  <w:style w:type="character" w:styleId="UserStyle_7">
    <w:name w:val="WW-Absatz-Standardschriftart11111"/>
    <w:next w:val="UserStyle_7"/>
    <w:link w:val="Normal"/>
  </w:style>
  <w:style w:type="character" w:styleId="UserStyle_8">
    <w:name w:val="WW-Absatz-Standardschriftart111111"/>
    <w:next w:val="UserStyle_8"/>
    <w:link w:val="Normal"/>
  </w:style>
  <w:style w:type="character" w:styleId="UserStyle_9">
    <w:name w:val="WW-Absatz-Standardschriftart1111111"/>
    <w:next w:val="UserStyle_9"/>
    <w:link w:val="Normal"/>
  </w:style>
  <w:style w:type="character" w:styleId="UserStyle_10">
    <w:name w:val="WW-Absatz-Standardschriftart11111111"/>
    <w:next w:val="UserStyle_10"/>
    <w:link w:val="Normal"/>
  </w:style>
  <w:style w:type="character" w:styleId="UserStyle_11">
    <w:name w:val="Основной шрифт абзаца5"/>
    <w:next w:val="UserStyle_11"/>
    <w:link w:val="Normal"/>
  </w:style>
  <w:style w:type="character" w:styleId="UserStyle_12">
    <w:name w:val="WW-Absatz-Standardschriftart111111111"/>
    <w:next w:val="UserStyle_12"/>
    <w:link w:val="Normal"/>
  </w:style>
  <w:style w:type="character" w:styleId="UserStyle_13">
    <w:name w:val="WW-Absatz-Standardschriftart1111111111"/>
    <w:next w:val="UserStyle_13"/>
    <w:link w:val="Normal"/>
  </w:style>
  <w:style w:type="character" w:styleId="UserStyle_14">
    <w:name w:val="WW-Absatz-Standardschriftart11111111111"/>
    <w:next w:val="UserStyle_14"/>
    <w:link w:val="Normal"/>
  </w:style>
  <w:style w:type="character" w:styleId="UserStyle_15">
    <w:name w:val="WW-Absatz-Standardschriftart111111111111"/>
    <w:next w:val="UserStyle_15"/>
    <w:link w:val="Normal"/>
  </w:style>
  <w:style w:type="character" w:styleId="UserStyle_16">
    <w:name w:val="WW-Absatz-Standardschriftart1111111111111"/>
    <w:next w:val="UserStyle_16"/>
    <w:link w:val="Normal"/>
  </w:style>
  <w:style w:type="character" w:styleId="UserStyle_17">
    <w:name w:val="WW-Absatz-Standardschriftart11111111111111"/>
    <w:next w:val="UserStyle_17"/>
    <w:link w:val="Normal"/>
  </w:style>
  <w:style w:type="character" w:styleId="UserStyle_18">
    <w:name w:val="WW-Absatz-Standardschriftart111111111111111"/>
    <w:next w:val="UserStyle_18"/>
    <w:link w:val="Normal"/>
  </w:style>
  <w:style w:type="character" w:styleId="UserStyle_19">
    <w:name w:val="WW-Absatz-Standardschriftart1111111111111111"/>
    <w:next w:val="UserStyle_19"/>
    <w:link w:val="Normal"/>
  </w:style>
  <w:style w:type="character" w:styleId="UserStyle_20">
    <w:name w:val="Основной шрифт абзаца4"/>
    <w:next w:val="UserStyle_20"/>
    <w:link w:val="Normal"/>
  </w:style>
  <w:style w:type="character" w:styleId="UserStyle_21">
    <w:name w:val="WW-Absatz-Standardschriftart11111111111111111"/>
    <w:next w:val="UserStyle_21"/>
    <w:link w:val="Normal"/>
  </w:style>
  <w:style w:type="character" w:styleId="UserStyle_22">
    <w:name w:val="WW-Absatz-Standardschriftart111111111111111111"/>
    <w:next w:val="UserStyle_22"/>
    <w:link w:val="Normal"/>
  </w:style>
  <w:style w:type="character" w:styleId="UserStyle_23">
    <w:name w:val="WW-Absatz-Standardschriftart1111111111111111111"/>
    <w:next w:val="UserStyle_23"/>
    <w:link w:val="Normal"/>
  </w:style>
  <w:style w:type="character" w:styleId="UserStyle_24">
    <w:name w:val="WW-Absatz-Standardschriftart11111111111111111111"/>
    <w:next w:val="UserStyle_24"/>
    <w:link w:val="Normal"/>
  </w:style>
  <w:style w:type="character" w:styleId="UserStyle_25">
    <w:name w:val="WW-Absatz-Standardschriftart111111111111111111111"/>
    <w:next w:val="UserStyle_25"/>
    <w:link w:val="Normal"/>
  </w:style>
  <w:style w:type="character" w:styleId="UserStyle_26">
    <w:name w:val="WW-Absatz-Standardschriftart1111111111111111111111"/>
    <w:next w:val="UserStyle_26"/>
    <w:link w:val="Normal"/>
  </w:style>
  <w:style w:type="character" w:styleId="UserStyle_27">
    <w:name w:val="Основной шрифт абзаца3"/>
    <w:next w:val="UserStyle_27"/>
    <w:link w:val="Normal"/>
  </w:style>
  <w:style w:type="character" w:styleId="UserStyle_28">
    <w:name w:val="Основной шрифт абзаца2"/>
    <w:next w:val="UserStyle_28"/>
    <w:link w:val="Normal"/>
  </w:style>
  <w:style w:type="character" w:styleId="UserStyle_29">
    <w:name w:val="Основной шрифт абзаца1"/>
    <w:next w:val="UserStyle_29"/>
    <w:link w:val="Normal"/>
  </w:style>
  <w:style w:type="character" w:styleId="UserStyle_30">
    <w:name w:val="Верхний колонтитул Знак"/>
    <w:basedOn w:val="UserStyle_29"/>
    <w:next w:val="UserStyle_30"/>
    <w:link w:val="Normal"/>
  </w:style>
  <w:style w:type="character" w:styleId="UserStyle_31">
    <w:name w:val="Нижний колонтитул Знак"/>
    <w:basedOn w:val="UserStyle_29"/>
    <w:next w:val="UserStyle_31"/>
    <w:link w:val="Normal"/>
  </w:style>
  <w:style w:type="character" w:styleId="UserStyle_32">
    <w:name w:val="Маркеры списка"/>
    <w:next w:val="UserStyle_32"/>
    <w:link w:val="Normal"/>
    <w:rPr>
      <w:rFonts w:ascii="OpenSymbol" w:hAnsi="OpenSymbol" w:eastAsia="OpenSymbol" w:cs="OpenSymbol"/>
    </w:rPr>
  </w:style>
  <w:style w:type="character" w:styleId="UserStyle_33">
    <w:name w:val="Символ нумерации"/>
    <w:next w:val="UserStyle_33"/>
    <w:link w:val="Normal"/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character" w:styleId="UserStyle_34">
    <w:name w:val="Q"/>
    <w:next w:val="UserStyle_34"/>
    <w:link w:val="Normal"/>
  </w:style>
  <w:style w:type="paragraph" w:styleId="UserStyle_35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ascii="Arial" w:hAnsi="Arial" w:cs="Mangal"/>
    </w:rPr>
  </w:style>
  <w:style w:type="paragraph" w:styleId="UserStyle_36">
    <w:name w:val="Название5"/>
    <w:basedOn w:val="Normal"/>
    <w:next w:val="UserStyle_36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37">
    <w:name w:val="Указатель5"/>
    <w:basedOn w:val="Normal"/>
    <w:next w:val="UserStyle_37"/>
    <w:link w:val="Normal"/>
    <w:pPr>
      <w:suppressLineNumbers/>
    </w:pPr>
    <w:rPr>
      <w:rFonts w:ascii="Arial" w:hAnsi="Arial" w:cs="Mangal"/>
    </w:rPr>
  </w:style>
  <w:style w:type="paragraph" w:styleId="UserStyle_38">
    <w:name w:val="Название4"/>
    <w:basedOn w:val="Normal"/>
    <w:next w:val="UserStyle_38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39">
    <w:name w:val="Указатель4"/>
    <w:basedOn w:val="Normal"/>
    <w:next w:val="UserStyle_39"/>
    <w:link w:val="Normal"/>
    <w:pPr>
      <w:suppressLineNumbers/>
    </w:pPr>
    <w:rPr>
      <w:rFonts w:ascii="Arial" w:hAnsi="Arial" w:cs="Mangal"/>
    </w:rPr>
  </w:style>
  <w:style w:type="paragraph" w:styleId="UserStyle_40">
    <w:name w:val="Название3"/>
    <w:basedOn w:val="Normal"/>
    <w:next w:val="UserStyle_40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1">
    <w:name w:val="Указатель3"/>
    <w:basedOn w:val="Normal"/>
    <w:next w:val="UserStyle_41"/>
    <w:link w:val="Normal"/>
    <w:pPr>
      <w:suppressLineNumbers/>
    </w:pPr>
    <w:rPr>
      <w:rFonts w:ascii="Arial" w:hAnsi="Arial" w:cs="Mangal"/>
    </w:rPr>
  </w:style>
  <w:style w:type="paragraph" w:styleId="UserStyle_42">
    <w:name w:val="Название2"/>
    <w:basedOn w:val="Normal"/>
    <w:next w:val="UserStyle_42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3">
    <w:name w:val="Указатель2"/>
    <w:basedOn w:val="Normal"/>
    <w:next w:val="UserStyle_43"/>
    <w:link w:val="Normal"/>
    <w:pPr>
      <w:suppressLineNumbers/>
    </w:pPr>
    <w:rPr>
      <w:rFonts w:ascii="Arial" w:hAnsi="Arial" w:cs="Mangal"/>
    </w:rPr>
  </w:style>
  <w:style w:type="paragraph" w:styleId="UserStyle_44">
    <w:name w:val="Название1"/>
    <w:basedOn w:val="Normal"/>
    <w:next w:val="UserStyle_44"/>
    <w:link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UserStyle_45">
    <w:name w:val="Указатель1"/>
    <w:basedOn w:val="Normal"/>
    <w:next w:val="UserStyle_45"/>
    <w:link w:val="Normal"/>
    <w:pPr>
      <w:suppressLineNumbers/>
    </w:pPr>
    <w:rPr>
      <w:rFonts w:ascii="Arial" w:hAnsi="Arial" w:cs="Mangal"/>
    </w:rPr>
  </w:style>
  <w:style w:type="paragraph" w:styleId="Header">
    <w:name w:val="Верхний колонтитул"/>
    <w:basedOn w:val="Normal"/>
    <w:next w:val="Header"/>
    <w:link w:val="Normal"/>
  </w:style>
  <w:style w:type="paragraph" w:styleId="Footer">
    <w:name w:val="Нижний колонтитул"/>
    <w:basedOn w:val="Normal"/>
    <w:next w:val="Footer"/>
    <w:link w:val="Normal"/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46">
    <w:name w:val="Содержимое таблицы"/>
    <w:basedOn w:val="Normal"/>
    <w:next w:val="UserStyle_46"/>
    <w:link w:val="Normal"/>
    <w:pPr>
      <w:suppressLineNumbers/>
    </w:pPr>
  </w:style>
  <w:style w:type="paragraph" w:styleId="UserStyle_47">
    <w:name w:val="Заголовок таблицы"/>
    <w:basedOn w:val="UserStyle_46"/>
    <w:next w:val="UserStyle_47"/>
    <w:link w:val="Normal"/>
    <w:pPr>
      <w:suppressLineNumbers/>
      <w:jc w:val="center"/>
    </w:pPr>
    <w:rPr>
      <w:b/>
      <w:bCs/>
    </w:rPr>
  </w:style>
  <w:style w:type="paragraph" w:styleId="BodyTextIndent">
    <w:name w:val="Основной текст с отступом"/>
    <w:basedOn w:val="Normal"/>
    <w:next w:val="BodyTextIndent"/>
    <w:link w:val="UserStyle_48"/>
    <w:pPr>
      <w:ind w:left="0" w:right="0" w:firstLine="900"/>
      <w:jc w:val="both"/>
    </w:pPr>
    <w:rPr>
      <w:sz w:val="28"/>
    </w:rPr>
  </w:style>
  <w:style w:type="paragraph" w:styleId="UserStyle_49">
    <w:name w:val="ConsPlusNormal"/>
    <w:next w:val="UserStyle_49"/>
    <w:link w:val="Normal"/>
    <w:pPr>
      <w:widowControl w:val="off"/>
    </w:pPr>
    <w:rPr>
      <w:rFonts w:ascii="Arial" w:hAnsi="Arial" w:eastAsia="Arial" w:cs="Arial"/>
      <w:lang w:val="ru-RU" w:eastAsia="ar-SA" w:bidi="ar-SA"/>
    </w:rPr>
  </w:style>
  <w:style w:type="paragraph" w:styleId="UserStyle_50">
    <w:name w:val="ConsPlusTitle"/>
    <w:next w:val="UserStyle_50"/>
    <w:link w:val="Normal"/>
    <w:rPr>
      <w:rFonts w:eastAsia="Arial"/>
      <w:b/>
      <w:bCs/>
      <w:sz w:val="28"/>
      <w:szCs w:val="28"/>
      <w:lang w:val="ru-RU" w:eastAsia="ar-SA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48">
    <w:name w:val="Основной текст с отступом Знак"/>
    <w:next w:val="UserStyle_48"/>
    <w:link w:val="BodyTextIndent"/>
    <w:rPr>
      <w:rFonts w:eastAsia="Calibri"/>
      <w:sz w:val="28"/>
      <w:szCs w:val="28"/>
      <w:lang w:eastAsia="ar-SA"/>
    </w:rPr>
  </w:style>
  <w:style w:type="character" w:styleId="UserStyle_51">
    <w:name w:val="apple-converted-space"/>
    <w:next w:val="UserStyle_51"/>
    <w:link w:val="Normal"/>
  </w:style>
  <w:style w:type="character" w:styleId="UserStyle_52">
    <w:name w:val="extendedtext-full"/>
    <w:next w:val="UserStyle_52"/>
    <w:link w:val="Normal"/>
  </w:style>
  <w:style w:type="character" w:styleId="UserStyle_53">
    <w:name w:val="Font Style49"/>
    <w:next w:val="UserStyle_53"/>
    <w:link w:val="Normal"/>
    <w:uiPriority w:val="99"/>
    <w:rPr>
      <w:rFonts w:ascii="Times New Roman" w:hAnsi="Times New Roman" w:cs="Times New Roman"/>
      <w:sz w:val="24"/>
      <w:szCs w:val="24"/>
    </w:rPr>
  </w:style>
  <w:style w:type="paragraph" w:styleId="UserStyle_54">
    <w:name w:val="Style22"/>
    <w:basedOn w:val="Normal"/>
    <w:next w:val="UserStyle_54"/>
    <w:link w:val="Normal"/>
    <w:uiPriority w:val="99"/>
    <w:pPr>
      <w:widowControl w:val="off"/>
      <w:spacing w:line="293" w:lineRule="exact"/>
      <w:ind w:firstLine="670"/>
    </w:pPr>
    <w:rPr>
      <w:rFonts w:eastAsia="Times New Roman"/>
      <w:sz w:val="24"/>
      <w:szCs w:val="24"/>
      <w:lang w:eastAsia="ru-RU"/>
    </w:rPr>
  </w:style>
  <w:style w:type="paragraph" w:styleId="179">
    <w:name w:val="Абзац списка"/>
    <w:basedOn w:val="Normal"/>
    <w:next w:val="179"/>
    <w:link w:val="Normal"/>
    <w:uiPriority w:val="1"/>
    <w:qFormat/>
    <w:pPr>
      <w:widowControl w:val="off"/>
      <w:ind w:left="394" w:firstLine="707"/>
    </w:pPr>
    <w:rPr>
      <w:rFonts w:eastAsia="Times New Roman"/>
      <w:sz w:val="22"/>
      <w:szCs w:val="22"/>
      <w:lang w:eastAsia="en-US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 w:eastAsia="Times New Roman" w:cs="Times New Roman"/>
      <w:b/>
      <w:bCs/>
      <w:sz w:val="32"/>
      <w:szCs w:val="32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9519</Characters>
  <CharactersWithSpaces>11167</CharactersWithSpaces>
  <DocSecurity>0</DocSecurity>
  <HyperlinksChanged>false</HyperlinksChanged>
  <Lines>79</Lines>
  <Pages>5</Pages>
  <Paragraphs>22</Paragraphs>
  <ScaleCrop>false</ScaleCrop>
  <SharedDoc>false</SharedDoc>
  <Template>Normal</Template>
  <Words>1670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ПК</dc:creator>
  <cp:lastModifiedBy>ПК</cp:lastModifiedBy>
  <cp:revision>3</cp:revision>
  <dcterms:created xsi:type="dcterms:W3CDTF">2024-12-05T11:46:00Z</dcterms:created>
  <dcterms:modified xsi:type="dcterms:W3CDTF">2024-12-05T11:48:00Z</dcterms:modified>
  <cp:version>917504</cp:version>
</cp:coreProperties>
</file>