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tLeast" w: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>
            <w:pPr>
              <w:pStyle w:val="Normal"/>
              <w:spacing w:lineRule="atLeast" w:line="0"/>
              <w:ind w:hanging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pacing w:lineRule="atLeast" w:line="0"/>
              <w:ind w:hanging="0" w:left="-3" w:right="252"/>
              <w:rPr/>
            </w:pPr>
            <w:r>
              <w:rPr>
                <w:color w:val="000000"/>
              </w:rPr>
              <w:t>Председатель Контрольно-счетной палаты Петровского муниципального округа Ставропольского края</w:t>
            </w:r>
          </w:p>
          <w:p>
            <w:pPr>
              <w:pStyle w:val="Normal"/>
              <w:spacing w:lineRule="atLeast" w:line="0"/>
              <w:ind w:hanging="0" w:left="-3" w:right="252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0"/>
              <w:ind w:hanging="0" w:left="-3" w:right="252"/>
              <w:rPr/>
            </w:pPr>
            <w:r>
              <w:rPr/>
              <w:t>12 сентября 2024 года</w:t>
            </w:r>
          </w:p>
          <w:p>
            <w:pPr>
              <w:pStyle w:val="Normal"/>
              <w:spacing w:lineRule="atLeast" w:line="0"/>
              <w:ind w:hanging="0" w:left="-3" w:right="252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0"/>
              <w:ind w:hanging="0" w:left="-3" w:right="252"/>
              <w:jc w:val="right"/>
              <w:rPr>
                <w:color w:val="000000"/>
              </w:rPr>
            </w:pPr>
            <w:r>
              <w:rPr>
                <w:color w:val="000000"/>
              </w:rPr>
              <w:t>Клочкова Н.А.</w:t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1276" w:leader="none"/>
        </w:tabs>
        <w:spacing w:lineRule="atLeast" w:line="0"/>
        <w:ind w:hanging="0" w:right="0"/>
        <w:jc w:val="center"/>
        <w:rPr/>
      </w:pPr>
      <w:r>
        <w:rPr/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</w:rPr>
      </w:pPr>
      <w:r>
        <w:rPr>
          <w:b/>
          <w:color w:val="000000"/>
        </w:rPr>
        <w:t>ОТЧЕТ</w:t>
      </w:r>
    </w:p>
    <w:p>
      <w:pPr>
        <w:pStyle w:val="Normal"/>
        <w:spacing w:lineRule="atLeast" w:line="0"/>
        <w:ind w:firstLine="850" w:right="0"/>
        <w:jc w:val="center"/>
        <w:rPr>
          <w:b/>
          <w:color w:val="000000"/>
        </w:rPr>
      </w:pPr>
      <w:r>
        <w:rPr>
          <w:b/>
          <w:color w:val="000000"/>
        </w:rPr>
        <w:t>о результатах контрольного мероприятия</w:t>
      </w:r>
    </w:p>
    <w:p>
      <w:pPr>
        <w:pStyle w:val="Normal"/>
        <w:spacing w:lineRule="atLeast" w:line="0"/>
        <w:ind w:firstLine="851" w:right="0"/>
        <w:rPr>
          <w:color w:val="000000"/>
          <w:spacing w:val="-4"/>
        </w:rPr>
      </w:pP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</w:t>
      </w:r>
      <w:r>
        <w:rPr>
          <w:b/>
          <w:spacing w:val="-4"/>
        </w:rPr>
        <w:t xml:space="preserve"> </w:t>
      </w:r>
      <w:r>
        <w:rPr>
          <w:spacing w:val="-4"/>
        </w:rPr>
        <w:t>муниципальным казенным учреждением «Содержание и эксплуатация муниципального имущества».</w:t>
      </w:r>
    </w:p>
    <w:p>
      <w:pPr>
        <w:pStyle w:val="Normal"/>
        <w:spacing w:lineRule="atLeast" w:line="0"/>
        <w:ind w:firstLine="850" w:right="0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spacing w:lineRule="atLeast" w:line="0"/>
        <w:ind w:firstLine="850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Основание для проведения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/>
        <w:t>Основанием для проведения контрольного мероприятия является пункт 10.4 плана работы Контрольно-счетной палаты Петровского муниципального округа Ставропольского края на 2024 год, распоряжение председателя Контрольно-счетной палаты Петровского муниципального округа Ставропольского края от 24.07.2024 г. № 6.</w:t>
      </w:r>
    </w:p>
    <w:p>
      <w:pPr>
        <w:pStyle w:val="Normal"/>
        <w:spacing w:lineRule="atLeast" w:line="0"/>
        <w:ind w:firstLine="851" w:right="0"/>
        <w:rPr/>
      </w:pPr>
      <w:r>
        <w:rPr/>
      </w:r>
    </w:p>
    <w:p>
      <w:pPr>
        <w:pStyle w:val="Normal"/>
        <w:spacing w:lineRule="atLeast" w:line="0"/>
        <w:ind w:firstLine="850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Цель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>
          <w:color w:val="000000"/>
        </w:rPr>
        <w:t>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края.</w:t>
      </w:r>
    </w:p>
    <w:p>
      <w:pPr>
        <w:pStyle w:val="Normal"/>
        <w:spacing w:lineRule="atLeast" w:line="0"/>
        <w:ind w:firstLine="851" w:right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/>
        <w:t xml:space="preserve">Предметом контрольного мероприятия являются </w:t>
      </w:r>
      <w:r>
        <w:rPr>
          <w:rFonts w:eastAsia="Times New Roman"/>
        </w:rPr>
        <w:t>учредительные документы, учетная политика, нормативные акты и иные распорядительные документы, определяющие деятельность муниципального казенного учреждения. Регистры бухгалтерского учета, годовая бухгалтерская отчетность, иные документы, подтверждающие результаты финансово-хозяйственной деятельности учреждения</w:t>
      </w:r>
      <w:r>
        <w:rPr>
          <w:rFonts w:eastAsia="Times New Roman"/>
          <w:color w:val="000000"/>
        </w:rPr>
        <w:t>.</w:t>
      </w:r>
    </w:p>
    <w:p>
      <w:pPr>
        <w:pStyle w:val="Normal"/>
        <w:spacing w:lineRule="atLeast" w:line="0"/>
        <w:ind w:firstLine="851" w:righ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Объект контрольного мероприятия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right="0"/>
        <w:rPr/>
      </w:pPr>
      <w:r>
        <w:rPr>
          <w:rStyle w:val="FontStyle49"/>
          <w:sz w:val="28"/>
          <w:szCs w:val="28"/>
        </w:rPr>
        <w:t xml:space="preserve">Муниципальное казенное учреждение </w:t>
      </w:r>
      <w:r>
        <w:rPr>
          <w:spacing w:val="-4"/>
          <w:sz w:val="28"/>
          <w:szCs w:val="28"/>
        </w:rPr>
        <w:t>«Содержание и эксплуатация муниципального имущества»</w:t>
      </w:r>
      <w:r>
        <w:rPr>
          <w:rStyle w:val="FontStyle49"/>
          <w:sz w:val="28"/>
          <w:szCs w:val="28"/>
        </w:rPr>
        <w:t>.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right="0"/>
        <w:rPr>
          <w:rStyle w:val="FontStyle49"/>
          <w:sz w:val="28"/>
          <w:szCs w:val="28"/>
        </w:rPr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b/>
          <w:bCs/>
          <w:color w:val="000000"/>
        </w:rPr>
        <w:t>Проверяемый период деятельности</w:t>
      </w:r>
    </w:p>
    <w:p>
      <w:pPr>
        <w:pStyle w:val="Normal"/>
        <w:spacing w:lineRule="atLeast" w:line="0"/>
        <w:ind w:firstLine="851" w:right="0"/>
        <w:jc w:val="center"/>
        <w:rPr>
          <w:bCs/>
          <w:color w:val="000000"/>
        </w:rPr>
      </w:pPr>
      <w:r>
        <w:rPr>
          <w:bCs/>
          <w:color w:val="000000"/>
        </w:rPr>
        <w:t>2023 год.</w:t>
      </w:r>
    </w:p>
    <w:p>
      <w:pPr>
        <w:pStyle w:val="Normal"/>
        <w:spacing w:lineRule="atLeast" w:line="0"/>
        <w:ind w:firstLine="851" w:right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начала проведения контрольного мероприятия</w:t>
      </w:r>
    </w:p>
    <w:p>
      <w:pPr>
        <w:pStyle w:val="Normal"/>
        <w:spacing w:lineRule="atLeast" w:line="0"/>
        <w:ind w:firstLine="851" w:right="0"/>
        <w:rPr/>
      </w:pPr>
      <w:r>
        <w:rPr>
          <w:rFonts w:eastAsia="Times New Roman"/>
        </w:rPr>
        <w:t xml:space="preserve">                                           </w:t>
      </w:r>
      <w:r>
        <w:rPr>
          <w:color w:val="000000"/>
        </w:rPr>
        <w:t>29 июля 2024 г.</w:t>
      </w:r>
      <w:r>
        <w:rPr/>
        <w:t xml:space="preserve">  </w:t>
      </w:r>
    </w:p>
    <w:p>
      <w:pPr>
        <w:pStyle w:val="Normal"/>
        <w:spacing w:lineRule="atLeast" w:line="0"/>
        <w:ind w:firstLine="851" w:right="0"/>
        <w:rPr/>
      </w:pPr>
      <w:r>
        <w:rPr/>
      </w:r>
    </w:p>
    <w:p>
      <w:pPr>
        <w:pStyle w:val="Normal"/>
        <w:ind w:firstLine="850" w:right="0"/>
        <w:rPr/>
      </w:pPr>
      <w:r>
        <w:rPr>
          <w:rFonts w:eastAsia="Times New Roman"/>
          <w:color w:val="800000"/>
        </w:rPr>
        <w:t xml:space="preserve">        </w:t>
      </w:r>
      <w:r>
        <w:rPr>
          <w:b/>
          <w:color w:val="000000"/>
        </w:rPr>
        <w:t>Объем бюджетных средств, охваченных контрольным мероприятием, составил:</w:t>
      </w:r>
    </w:p>
    <w:p>
      <w:pPr>
        <w:pStyle w:val="Normal"/>
        <w:ind w:firstLine="850" w:right="0"/>
        <w:rPr>
          <w:color w:val="000000"/>
        </w:rPr>
      </w:pPr>
      <w:r>
        <w:rPr>
          <w:color w:val="000000"/>
        </w:rPr>
        <w:t>2023 г. – 56992944,03 руб.</w:t>
      </w:r>
    </w:p>
    <w:p>
      <w:pPr>
        <w:pStyle w:val="Normal"/>
        <w:ind w:firstLine="850" w:right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1134" w:leader="none"/>
        </w:tabs>
        <w:ind w:firstLine="850" w:right="0"/>
        <w:rPr>
          <w:color w:val="000000"/>
        </w:rPr>
      </w:pPr>
      <w:r>
        <w:rPr>
          <w:color w:val="000000"/>
        </w:rPr>
        <w:t>Проверка производилась на основании представленных на бумажных, электронных носителях регистрах бухгалтерского учета за 2023 год.</w:t>
      </w:r>
    </w:p>
    <w:p>
      <w:pPr>
        <w:pStyle w:val="Normal"/>
        <w:ind w:firstLine="850" w:right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ind w:firstLine="851" w:right="0"/>
        <w:jc w:val="center"/>
        <w:rPr>
          <w:b/>
          <w:color w:val="000000"/>
        </w:rPr>
      </w:pPr>
      <w:r>
        <w:rPr>
          <w:b/>
          <w:color w:val="000000"/>
        </w:rPr>
        <w:t>Результаты контрольного мероприятия:</w:t>
      </w:r>
    </w:p>
    <w:p>
      <w:pPr>
        <w:pStyle w:val="Normal"/>
        <w:tabs>
          <w:tab w:val="clear" w:pos="708"/>
          <w:tab w:val="left" w:pos="1134" w:leader="none"/>
        </w:tabs>
        <w:spacing w:lineRule="atLeast" w:line="0"/>
        <w:ind w:hanging="0" w:right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851" w:right="0"/>
        <w:rPr/>
      </w:pPr>
      <w:r>
        <w:rPr>
          <w:color w:val="000000"/>
        </w:rPr>
        <w:t>1.</w:t>
      </w:r>
      <w:r>
        <w:rPr>
          <w:b/>
          <w:color w:val="000000"/>
        </w:rPr>
        <w:t xml:space="preserve">  </w:t>
      </w:r>
      <w:r>
        <w:rPr>
          <w:b/>
        </w:rPr>
        <w:t>В нарушении Приложения № 4 к приказу</w:t>
      </w:r>
      <w:r>
        <w:rPr/>
        <w:t xml:space="preserve"> </w:t>
      </w:r>
      <w:r>
        <w:rPr>
          <w:b/>
        </w:rPr>
        <w:t>муниципального казенного учреждения «Централизованная бухгалтерия» от 30.12.2019г. № 10</w:t>
      </w:r>
      <w:r>
        <w:rPr/>
        <w:t xml:space="preserve"> при хранении регистров бухгалтерского учета, первичных учетных документов не везде указано количество листов в папке (деле);</w:t>
      </w:r>
    </w:p>
    <w:p>
      <w:pPr>
        <w:pStyle w:val="BodyTextIndent"/>
        <w:spacing w:lineRule="atLeast" w:line="0"/>
        <w:ind w:firstLine="851" w:right="0"/>
        <w:rPr/>
      </w:pPr>
      <w:r>
        <w:rPr/>
        <w:t>2.</w:t>
      </w:r>
      <w:r>
        <w:rPr>
          <w:b/>
        </w:rPr>
        <w:t xml:space="preserve"> Н</w:t>
      </w:r>
      <w:r>
        <w:rPr>
          <w:rFonts w:eastAsia="Times New Roman"/>
          <w:b/>
          <w:color w:val="000000"/>
          <w:spacing w:val="-2"/>
        </w:rPr>
        <w:t>арушение порядка применения классификации операций сектора государственного управления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color w:val="000000"/>
        </w:rPr>
        <w:t>на сумму 1794,46 руб.:</w:t>
      </w:r>
    </w:p>
    <w:p>
      <w:pPr>
        <w:pStyle w:val="Normal"/>
        <w:tabs>
          <w:tab w:val="clear" w:pos="708"/>
          <w:tab w:val="left" w:pos="1276" w:leader="none"/>
        </w:tabs>
        <w:ind w:firstLine="851" w:right="0"/>
        <w:rPr/>
      </w:pPr>
      <w:r>
        <w:rPr>
          <w:bCs/>
          <w:color w:val="000000"/>
        </w:rPr>
        <w:t>с кода 346 «</w:t>
      </w:r>
      <w:r>
        <w:rPr>
          <w:rFonts w:eastAsia="Times New Roman"/>
          <w:lang w:eastAsia="ru-RU"/>
        </w:rPr>
        <w:t>Увеличение стоимости материальных запасов</w:t>
      </w:r>
      <w:r>
        <w:rPr>
          <w:color w:val="000000"/>
        </w:rPr>
        <w:t>» произведена оплата по договору от 03.02.2023. № 03/1. Данные расходы необходимо производить с кода 310 «Увеличение стоимости основных средств</w:t>
      </w:r>
      <w:r>
        <w:rPr/>
        <w:t>»;</w:t>
      </w:r>
    </w:p>
    <w:p>
      <w:pPr>
        <w:pStyle w:val="Normal"/>
        <w:spacing w:lineRule="atLeast" w:line="0"/>
        <w:rPr>
          <w:color w:val="FF0000"/>
        </w:rPr>
      </w:pPr>
      <w:r>
        <w:rPr>
          <w:rFonts w:eastAsia="Times New Roman"/>
        </w:rPr>
        <w:t xml:space="preserve"> </w:t>
      </w:r>
      <w:r>
        <w:rPr/>
        <w:t>3.</w:t>
      </w:r>
      <w:r>
        <w:rPr>
          <w:rFonts w:eastAsia="Times New Roman"/>
          <w:lang w:eastAsia="ru-RU"/>
        </w:rPr>
        <w:t xml:space="preserve"> Н</w:t>
      </w:r>
      <w:r>
        <w:rPr/>
        <w:t>а заявлениях подотчетных лиц отсутствует дата</w:t>
      </w:r>
      <w:r>
        <w:rPr>
          <w:rFonts w:eastAsia="Times New Roman"/>
          <w:lang w:eastAsia="ru-RU"/>
        </w:rPr>
        <w:t>;</w:t>
      </w:r>
    </w:p>
    <w:p>
      <w:pPr>
        <w:pStyle w:val="Normal"/>
        <w:spacing w:lineRule="atLeast" w:line="0"/>
        <w:rPr/>
      </w:pPr>
      <w:r>
        <w:rPr>
          <w:rFonts w:eastAsia="Times New Roman"/>
          <w:color w:val="FF0000"/>
        </w:rPr>
        <w:t xml:space="preserve"> </w:t>
      </w:r>
      <w:r>
        <w:rPr/>
        <w:t>4.</w:t>
      </w:r>
      <w:r>
        <w:rPr>
          <w:color w:val="FF0000"/>
        </w:rPr>
        <w:t xml:space="preserve"> </w:t>
      </w:r>
      <w:r>
        <w:rPr>
          <w:b/>
        </w:rPr>
        <w:t>Не включение в контракт (договор) обязательных условий</w:t>
      </w:r>
      <w:r>
        <w:rPr/>
        <w:t xml:space="preserve">.  В соответствии с ч.15 ст.34 </w:t>
      </w:r>
      <w:r>
        <w:rPr>
          <w:lang w:eastAsia="en-US"/>
        </w:rPr>
        <w:t>Федерального закона № 44-ФЗ,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при заключении контракта по п. 4 ч.1 ст.93 Федерального закона № 44-ФЗ, обязательным условием контракта должно быть условие о том, </w:t>
      </w:r>
      <w:r>
        <w:rPr>
          <w:i/>
          <w:lang w:eastAsia="en-US"/>
        </w:rPr>
        <w:t xml:space="preserve">что цена контракта является твердой и определяется на весь срок исполнения контракта. </w:t>
      </w:r>
      <w:r>
        <w:rPr>
          <w:b/>
        </w:rPr>
        <w:t>В нарушении части 2 статьи 34 Закона о контрактной системе</w:t>
      </w:r>
      <w:r>
        <w:rPr/>
        <w:t xml:space="preserve"> отсутствует указание на то, что цена контракта является твердой и определяется на весь срок исполнения контракта на сумму 11751,96 руб.</w:t>
      </w:r>
      <w:r>
        <w:rPr>
          <w:rFonts w:eastAsia="Times New Roman"/>
          <w:lang w:eastAsia="ru-RU"/>
        </w:rPr>
        <w:t>;</w:t>
      </w:r>
    </w:p>
    <w:p>
      <w:pPr>
        <w:pStyle w:val="Normal"/>
        <w:spacing w:lineRule="atLeast" w:line="0"/>
        <w:rPr>
          <w:color w:val="FF0000"/>
        </w:rPr>
      </w:pPr>
      <w:r>
        <w:rPr/>
        <w:t>5.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Нарушение заказчиком условий контрактов, в части срока оплаты;</w:t>
      </w:r>
      <w:r>
        <w:rPr>
          <w:rFonts w:eastAsia="Times New Roman"/>
          <w:b/>
          <w:color w:val="FF0000"/>
          <w:lang w:eastAsia="ru-RU"/>
        </w:rPr>
        <w:t xml:space="preserve"> </w:t>
      </w:r>
    </w:p>
    <w:p>
      <w:pPr>
        <w:pStyle w:val="Normal"/>
        <w:ind w:firstLine="708" w:right="0"/>
        <w:rPr>
          <w:rFonts w:eastAsia="Times New Roman"/>
          <w:color w:val="FF0000"/>
        </w:rPr>
      </w:pPr>
      <w:r>
        <w:rPr>
          <w:rFonts w:eastAsia="Times New Roman"/>
          <w:bCs/>
          <w:iCs/>
          <w:spacing w:val="-2"/>
        </w:rPr>
        <w:t>6. В</w:t>
      </w:r>
      <w:r>
        <w:rPr>
          <w:rFonts w:eastAsia="Times New Roman"/>
          <w:lang w:eastAsia="ru-RU"/>
        </w:rPr>
        <w:t xml:space="preserve"> отчете об исполнении бюджета на 01.01.2024 г. (форма 0503127) совокупный годовой объем закупок составил 9605967,04 руб., тогда как по отчету об объеме закупок у субъектов малого предпринимательства, социально ориентированных некоммерческих организаций годовой объем закупок указан в сумме 8644226,95 руб. Разница составляет – 961740,09 руб.;</w:t>
      </w:r>
    </w:p>
    <w:p>
      <w:pPr>
        <w:pStyle w:val="Normal"/>
        <w:rPr>
          <w:color w:val="FF0000"/>
        </w:rPr>
      </w:pPr>
      <w:r>
        <w:rPr/>
        <w:t>7.</w:t>
      </w:r>
      <w:r>
        <w:rPr>
          <w:color w:val="FF0000"/>
        </w:rPr>
        <w:t xml:space="preserve"> </w:t>
      </w:r>
      <w:r>
        <w:rPr>
          <w:rFonts w:eastAsia="Times New Roman"/>
          <w:lang w:eastAsia="ru-RU"/>
        </w:rPr>
        <w:t>К Журналу операций по оплате труда №6 не подшиты Расчеты пособий к листкам нетрудоспособности, Бухгалтерские справки по расчету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оплаты сверхурочной работы и по перерасчету заработной платы;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color w:val="FF0000"/>
        </w:rPr>
        <w:t xml:space="preserve"> </w:t>
      </w:r>
      <w:r>
        <w:rPr/>
        <w:t xml:space="preserve">8. </w:t>
      </w:r>
      <w:r>
        <w:rPr>
          <w:rFonts w:eastAsia="Times New Roman"/>
          <w:lang w:eastAsia="ru-RU"/>
        </w:rPr>
        <w:t xml:space="preserve">В штатном расписании указывается не размер оклада по 1 штатной единице, а общая сумма окладной части месячного фонда оплаты труда по должности; </w:t>
      </w:r>
    </w:p>
    <w:p>
      <w:pPr>
        <w:pStyle w:val="Normal"/>
        <w:spacing w:lineRule="atLeast" w:line="0"/>
        <w:rPr>
          <w:rFonts w:eastAsia="Times New Roman"/>
          <w:color w:val="FF0000"/>
          <w:lang w:eastAsia="ru-RU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9. </w:t>
      </w:r>
      <w:r>
        <w:rPr>
          <w:rFonts w:eastAsia="Times New Roman"/>
          <w:color w:val="000000"/>
          <w:lang w:eastAsia="ru-RU"/>
        </w:rPr>
        <w:t>Целевые показатели и критерии оценки эффективности деятельности заполняются работниками раз в квартал, по результатам которых ежемесячно составляется протокол заседания комиссии по оценке эффективности труда работников, и утверждаются стимулирующие выплаты. Целевые показатели и критерии оценки эффективности деятельности не заполняются ежемесячно, что может привести к переплате заработной платы в виде стимулирующих выплат в связи с тем, что дисциплинарные взыскания, установленные на месяц, не указываются в квартальных оценках;</w:t>
      </w:r>
    </w:p>
    <w:p>
      <w:pPr>
        <w:pStyle w:val="Normal"/>
        <w:spacing w:lineRule="atLeast" w:line="0"/>
        <w:rPr/>
      </w:pPr>
      <w:r>
        <w:rPr/>
        <w:t xml:space="preserve">10. </w:t>
      </w:r>
      <w:r>
        <w:rPr>
          <w:rFonts w:eastAsia="Times New Roman"/>
          <w:lang w:eastAsia="ru-RU"/>
        </w:rPr>
        <w:t xml:space="preserve">Директору устанавливается не ежеквартальная премия, а ежеквартальная стимулирующая выплата; </w:t>
      </w:r>
    </w:p>
    <w:p>
      <w:pPr>
        <w:pStyle w:val="Normal"/>
        <w:rPr/>
      </w:pPr>
      <w:r>
        <w:rPr>
          <w:rFonts w:eastAsia="Times New Roman"/>
          <w:lang w:eastAsia="ru-RU"/>
        </w:rPr>
        <w:t>11.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 Журналу операций по оплате труда № 6, периодически подшиваются Приказы с неверной нумерацией</w:t>
      </w:r>
      <w:r>
        <w:rPr>
          <w:rFonts w:eastAsia="Times New Roman"/>
          <w:lang w:eastAsia="ru-RU"/>
        </w:rPr>
        <w:t>;</w:t>
      </w:r>
    </w:p>
    <w:p>
      <w:pPr>
        <w:pStyle w:val="Normal"/>
        <w:rPr/>
      </w:pPr>
      <w:r>
        <w:rPr>
          <w:rFonts w:eastAsia="Times New Roman"/>
          <w:lang w:eastAsia="ru-RU"/>
        </w:rPr>
        <w:t>12.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Переплачено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заработной платы на общую сумму 34,52 руб., недоплачено заработной платы на сумму 3604,40 руб.;</w:t>
      </w:r>
    </w:p>
    <w:p>
      <w:pPr>
        <w:pStyle w:val="Normal"/>
        <w:rPr/>
      </w:pPr>
      <w:r>
        <w:rPr>
          <w:rFonts w:eastAsia="Times New Roman"/>
          <w:lang w:eastAsia="ru-RU"/>
        </w:rPr>
        <w:t xml:space="preserve">13. </w:t>
      </w:r>
      <w:r>
        <w:rPr>
          <w:lang w:eastAsia="en-US"/>
        </w:rPr>
        <w:t>В нарушении п. 4.4. учетной политики производилось списание материальных ценностей без ведомости выдачи общая сумма нарушения составила 10890,37 руб.;</w:t>
      </w:r>
    </w:p>
    <w:p>
      <w:pPr>
        <w:pStyle w:val="Normal"/>
        <w:rPr/>
      </w:pPr>
      <w:r>
        <w:rPr>
          <w:lang w:eastAsia="en-US"/>
        </w:rPr>
        <w:t xml:space="preserve">14. </w:t>
      </w:r>
      <w:r>
        <w:rPr>
          <w:rFonts w:eastAsia="Times New Roman"/>
          <w:color w:val="000000"/>
          <w:lang w:eastAsia="ru-RU"/>
        </w:rPr>
        <w:t>В актах о приеме-передаче объектов нефинансовых активов не всегда пишут должность и расшифровку подписи лица, принявшего объекты;</w:t>
      </w:r>
    </w:p>
    <w:p>
      <w:pPr>
        <w:pStyle w:val="Normal"/>
        <w:rPr/>
      </w:pPr>
      <w:r>
        <w:rPr>
          <w:rFonts w:eastAsia="Times New Roman"/>
          <w:color w:val="000000"/>
          <w:lang w:eastAsia="ru-RU"/>
        </w:rPr>
        <w:t>15. Необоснованно списано «Фильтр очистки масла» в количестве 27 шт. на сумму 14041,20 руб.;</w:t>
      </w:r>
    </w:p>
    <w:p>
      <w:pPr>
        <w:pStyle w:val="Normal"/>
        <w:rPr/>
      </w:pPr>
      <w:r>
        <w:rPr>
          <w:rFonts w:eastAsia="Times New Roman"/>
          <w:color w:val="000000"/>
          <w:lang w:eastAsia="ru-RU"/>
        </w:rPr>
        <w:t>16. В некоторых актах о списании количество списанных материалов меньше ведомости выдачи;</w:t>
      </w:r>
    </w:p>
    <w:p>
      <w:pPr>
        <w:pStyle w:val="Normal"/>
        <w:rPr/>
      </w:pPr>
      <w:r>
        <w:rPr>
          <w:rFonts w:eastAsia="Times New Roman"/>
          <w:color w:val="000000"/>
          <w:lang w:eastAsia="ru-RU"/>
        </w:rPr>
        <w:t>17. На бухгалтерский учет некоторые материальные запасы принимаются с неверной единицей измерения;</w:t>
      </w:r>
    </w:p>
    <w:p>
      <w:pPr>
        <w:pStyle w:val="Normal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18. За 2023 год было списано путевых листов в количестве 9200 шт. на сумму 7363,91 руб., однако в 2023 году было 246 рабочих дней и 24 автомобиля, на которые выписывались путевые листы, что составляет 5904 шт. на год. Данное нарушение может говорить о несвоевременном списании или о бесконтрольном расходе путевых листов;</w:t>
      </w:r>
    </w:p>
    <w:p>
      <w:pPr>
        <w:pStyle w:val="Normal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19. Нормы расхода канцелярских принадлежностей и хозяйственных товаров не утверждены в Учреждении;</w:t>
      </w:r>
    </w:p>
    <w:p>
      <w:pPr>
        <w:pStyle w:val="Normal"/>
        <w:rPr/>
      </w:pPr>
      <w:r>
        <w:rPr>
          <w:rFonts w:eastAsia="Times New Roman"/>
          <w:color w:val="000000"/>
          <w:lang w:eastAsia="ru-RU"/>
        </w:rPr>
        <w:t>20. Согласно УПД счет-фактуре №2441 от 03.02.2023 г. были приобретены 3 калькулятора на общую сумму 1794,46 руб. как материальные запасы, в декабре 2023 г. согласно акта о списании материальных запасов №ПКГУ-000455 от 15.12.2023 г. они списаны, хотя срок использования калькуляторов более 12 месяцев;</w:t>
      </w:r>
    </w:p>
    <w:p>
      <w:pPr>
        <w:pStyle w:val="Normal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21. </w:t>
      </w:r>
      <w:r>
        <w:rPr>
          <w:rFonts w:eastAsia="Times New Roman"/>
          <w:bCs/>
          <w:color w:val="000000"/>
          <w:lang w:eastAsia="ru-RU"/>
        </w:rPr>
        <w:t>При выборочной проверки путевых листов выявлены неточности в заполнении: не заполнена марка горючего; не заполняются места отправления и назначения, только общие формулировки (например, «по селу»); отсутствует время выезда и возвращения; имеются помарки и исправления;</w:t>
      </w:r>
    </w:p>
    <w:p>
      <w:pPr>
        <w:pStyle w:val="Normal"/>
        <w:rPr>
          <w:rFonts w:eastAsia="Times New Roman"/>
          <w:color w:val="FF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22. При анализе договоров № 7 от 23.01.2023 г. и № 2 от 12.05.2023г. на сдачу в аренду помещений, являющихся муниципальной собственностью, установлено нарушение условий договора в части не выполнения обязательств Арендатором по страхованию арендованного имущества. Так же выявлено, что за данное нарушение неустойка не выставлялась, хотя договором предусмотрена в размере 5% годовой арендной платы.</w:t>
      </w:r>
    </w:p>
    <w:p>
      <w:pPr>
        <w:pStyle w:val="Normal"/>
        <w:spacing w:lineRule="atLeast" w:line="0"/>
        <w:ind w:firstLine="850" w:right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pacing w:lineRule="atLeast" w:line="0"/>
        <w:ind w:firstLine="850" w:right="0"/>
        <w:jc w:val="center"/>
        <w:rPr>
          <w:b/>
        </w:rPr>
      </w:pPr>
      <w:r>
        <w:rPr>
          <w:b/>
        </w:rPr>
        <w:t>Предложения</w:t>
      </w:r>
    </w:p>
    <w:p>
      <w:pPr>
        <w:pStyle w:val="Normal"/>
        <w:spacing w:lineRule="atLeast" w:line="0"/>
        <w:ind w:firstLine="850" w:right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tLeast" w:line="0"/>
        <w:ind w:firstLine="851" w:right="0"/>
        <w:rPr/>
      </w:pPr>
      <w:r>
        <w:rPr/>
        <w:t xml:space="preserve">1. Направить отчет о результатах контрольного мероприятия: </w:t>
      </w: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 муниципальным казенным учреждением «Содержание и эксплуатация муниципального имущества»»:</w:t>
      </w:r>
    </w:p>
    <w:p>
      <w:pPr>
        <w:pStyle w:val="Normal"/>
        <w:spacing w:lineRule="atLeast" w:line="0"/>
        <w:ind w:firstLine="851" w:right="0"/>
        <w:rPr/>
      </w:pPr>
      <w:r>
        <w:rPr/>
        <w:t>- Председателю Совета депутатов Петровского муниципального округа Ставропольского края - Лагунову В.О.</w:t>
      </w:r>
    </w:p>
    <w:p>
      <w:pPr>
        <w:pStyle w:val="Normal"/>
        <w:spacing w:lineRule="atLeast" w:line="0"/>
        <w:ind w:firstLine="851" w:right="0"/>
        <w:rPr/>
      </w:pPr>
      <w:r>
        <w:rPr/>
        <w:t xml:space="preserve">2. Направить копию акта по результатам контрольного мероприятия: </w:t>
      </w: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 муниципальным казенным учреждением «Содержание и эксплуатация муниципального имущества»»:</w:t>
      </w:r>
    </w:p>
    <w:p>
      <w:pPr>
        <w:pStyle w:val="Normal"/>
        <w:spacing w:lineRule="atLeast" w:line="0"/>
        <w:ind w:firstLine="851" w:right="0"/>
        <w:rPr>
          <w:spacing w:val="-4"/>
        </w:rPr>
      </w:pPr>
      <w:r>
        <w:rPr/>
        <w:t>- В прокуратуру Петровского района.</w:t>
      </w:r>
    </w:p>
    <w:p>
      <w:pPr>
        <w:pStyle w:val="Normal"/>
        <w:spacing w:lineRule="atLeast" w:line="0"/>
        <w:ind w:hanging="0" w:left="850" w:right="0"/>
        <w:rPr>
          <w:spacing w:val="-4"/>
        </w:rPr>
      </w:pPr>
      <w:r>
        <w:rPr>
          <w:spacing w:val="-4"/>
        </w:rPr>
      </w:r>
    </w:p>
    <w:tbl>
      <w:tblPr>
        <w:tblW w:w="953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67"/>
        <w:gridCol w:w="111"/>
        <w:gridCol w:w="1590"/>
        <w:gridCol w:w="2890"/>
        <w:gridCol w:w="283"/>
        <w:gridCol w:w="18"/>
      </w:tblGrid>
      <w:tr>
        <w:trPr/>
        <w:tc>
          <w:tcPr>
            <w:tcW w:w="4644" w:type="dxa"/>
            <w:gridSpan w:val="2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jc w:val="left"/>
              <w:rPr/>
            </w:pPr>
            <w:r>
              <w:rPr>
                <w:color w:val="0D0D0D"/>
              </w:rPr>
              <w:t xml:space="preserve">Инспектор Контрольно-счетной палаты Петровского муниципального округа Ставропольского края </w:t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 xml:space="preserve">                                           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2890" w:type="dxa"/>
            <w:tcBorders/>
          </w:tcPr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color w:val="0D0D0D"/>
              </w:rPr>
            </w:pPr>
            <w:r>
              <w:rPr>
                <w:color w:val="0D0D0D"/>
              </w:rPr>
              <w:t>Меркулова Ю.С.</w:t>
            </w:r>
          </w:p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28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D0D0D"/>
              </w:rPr>
            </w:pPr>
            <w:r>
              <w:rPr>
                <w:color w:val="0D0D0D"/>
              </w:rPr>
            </w:r>
          </w:p>
        </w:tc>
      </w:tr>
      <w:tr>
        <w:trPr/>
        <w:tc>
          <w:tcPr>
            <w:tcW w:w="4755" w:type="dxa"/>
            <w:gridSpan w:val="3"/>
            <w:tcBorders/>
          </w:tcPr>
          <w:tbl>
            <w:tblPr>
              <w:tblW w:w="92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4"/>
              <w:gridCol w:w="1701"/>
              <w:gridCol w:w="2890"/>
            </w:tblGrid>
            <w:tr>
              <w:trPr/>
              <w:tc>
                <w:tcPr>
                  <w:tcW w:w="4644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right="0"/>
                    <w:jc w:val="left"/>
                    <w:rPr/>
                  </w:pPr>
                  <w:r>
                    <w:rPr>
                      <w:color w:val="0D0D0D"/>
                    </w:rPr>
                    <w:t xml:space="preserve">Инспектор Контрольно-счетной палаты Петровского муниципального округа Ставропольского края                                            </w:t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righ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</w:r>
                </w:p>
              </w:tc>
              <w:tc>
                <w:tcPr>
                  <w:tcW w:w="2890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right="0"/>
                    <w:jc w:val="righ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gridSpan w:val="3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77"/>
              <w:jc w:val="right"/>
              <w:rPr/>
            </w:pPr>
            <w:r>
              <w:rPr/>
              <w:t>Лихтина Г.А.</w:t>
            </w:r>
          </w:p>
        </w:tc>
      </w:tr>
      <w:tr>
        <w:trPr/>
        <w:tc>
          <w:tcPr>
            <w:tcW w:w="4755" w:type="dxa"/>
            <w:gridSpan w:val="3"/>
            <w:tcBorders/>
          </w:tcPr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gridSpan w:val="3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77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tabs>
                <w:tab w:val="clear" w:pos="708"/>
                <w:tab w:val="left" w:pos="3330" w:leader="none"/>
                <w:tab w:val="left" w:pos="7305" w:leader="none"/>
              </w:tabs>
              <w:snapToGrid w:val="false"/>
              <w:spacing w:lineRule="atLeast" w:line="0"/>
              <w:ind w:hanging="0" w:right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5441" w:type="dxa"/>
            <w:gridSpan w:val="5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hanging="0" w:right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0"/>
        <w:ind w:hanging="0" w:left="850" w:right="0"/>
        <w:rPr>
          <w:color w:val="FF0000"/>
        </w:rPr>
      </w:pPr>
      <w:r>
        <w:rPr>
          <w:color w:val="FF0000"/>
        </w:rPr>
      </w:r>
    </w:p>
    <w:tbl>
      <w:tblPr>
        <w:tblW w:w="953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781"/>
      </w:tblGrid>
      <w:tr>
        <w:trPr/>
        <w:tc>
          <w:tcPr>
            <w:tcW w:w="4755" w:type="dxa"/>
            <w:tcBorders/>
          </w:tcPr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77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Normal"/>
              <w:snapToGrid w:val="false"/>
              <w:spacing w:lineRule="exact" w:line="240"/>
              <w:ind w:hanging="0" w:right="0"/>
              <w:rPr/>
            </w:pPr>
            <w:r>
              <w:rPr/>
            </w:r>
          </w:p>
        </w:tc>
        <w:tc>
          <w:tcPr>
            <w:tcW w:w="4781" w:type="dxa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left="-3" w:right="192"/>
              <w:jc w:val="right"/>
              <w:rPr/>
            </w:pPr>
            <w:r>
              <w:rPr/>
            </w:r>
          </w:p>
        </w:tc>
      </w:tr>
    </w:tbl>
    <w:p>
      <w:pPr>
        <w:pStyle w:val="Normal"/>
        <w:ind w:hanging="0" w:right="0"/>
        <w:rPr/>
      </w:pPr>
      <w:r>
        <w:rPr/>
      </w:r>
    </w:p>
    <w:sectPr>
      <w:footerReference w:type="default" r:id="rId2"/>
      <w:type w:val="nextPage"/>
      <w:pgSz w:w="11906" w:h="16838"/>
      <w:pgMar w:left="1875" w:right="851" w:gutter="0" w:header="0" w:top="1600" w:footer="1134" w:bottom="1456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0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firstLine="709" w:left="0" w:right="0"/>
      <w:jc w:val="both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b w:val="false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eastAsia="Calibri"/>
      <w:b w:val="false"/>
      <w:color w:val="0D0D0D"/>
    </w:rPr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b w:val="false"/>
    </w:rPr>
  </w:style>
  <w:style w:type="character" w:styleId="WW8Num11z0">
    <w:name w:val="WW8Num11z0"/>
    <w:qFormat/>
    <w:rPr>
      <w:b w:val="false"/>
      <w:i w:val="false"/>
      <w:color w:val="000000"/>
    </w:rPr>
  </w:style>
  <w:style w:type="character" w:styleId="WW8Num12z0">
    <w:name w:val="WW8Num12z0"/>
    <w:qFormat/>
    <w:rPr>
      <w:b w:val="false"/>
    </w:rPr>
  </w:style>
  <w:style w:type="character" w:styleId="Style14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5">
    <w:name w:val="Основной шрифт абзаца5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4">
    <w:name w:val="Основной шрифт абзаца4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1"/>
    <w:qFormat/>
    <w:rPr/>
  </w:style>
  <w:style w:type="character" w:styleId="Style16">
    <w:name w:val="Нижний колонтитул Знак"/>
    <w:basedOn w:val="1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Q">
    <w:name w:val="Q"/>
    <w:qFormat/>
    <w:rPr/>
  </w:style>
  <w:style w:type="character" w:styleId="Strong">
    <w:name w:val="Strong"/>
    <w:qFormat/>
    <w:rPr>
      <w:b/>
      <w:bCs/>
    </w:rPr>
  </w:style>
  <w:style w:type="character" w:styleId="Style19">
    <w:name w:val="Основной текст с отступом Знак"/>
    <w:qFormat/>
    <w:rPr>
      <w:rFonts w:eastAsia="Calibri"/>
      <w:sz w:val="28"/>
      <w:szCs w:val="28"/>
    </w:rPr>
  </w:style>
  <w:style w:type="character" w:styleId="Apple-converted-space">
    <w:name w:val="apple-converted-space"/>
    <w:qFormat/>
    <w:rPr/>
  </w:style>
  <w:style w:type="character" w:styleId="Extendedtext-full">
    <w:name w:val="extendedtext-full"/>
    <w:qFormat/>
    <w:rPr/>
  </w:style>
  <w:style w:type="character" w:styleId="FontStyle49">
    <w:name w:val="Font Style49"/>
    <w:qFormat/>
    <w:rPr>
      <w:rFonts w:ascii="Times New Roman" w:hAnsi="Times New Roman" w:cs="Times New Roman"/>
      <w:sz w:val="24"/>
      <w:szCs w:val="24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51">
    <w:name w:val="Название5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ascii="Arial" w:hAnsi="Arial" w:cs="Mangal"/>
    </w:rPr>
  </w:style>
  <w:style w:type="paragraph" w:styleId="41">
    <w:name w:val="Название4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ascii="Arial" w:hAnsi="Arial" w:cs="Mangal"/>
    </w:rPr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ascii="Arial" w:hAnsi="Arial"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pPr>
      <w:ind w:firstLine="900" w:left="0" w:right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sz w:val="28"/>
      <w:szCs w:val="28"/>
      <w:lang w:val="ru-RU" w:bidi="ar-SA" w:eastAsia="zh-CN"/>
    </w:rPr>
  </w:style>
  <w:style w:type="paragraph" w:styleId="Style221">
    <w:name w:val="Style22"/>
    <w:basedOn w:val="Normal"/>
    <w:qFormat/>
    <w:pPr>
      <w:widowControl w:val="false"/>
      <w:suppressAutoHyphens w:val="false"/>
      <w:autoSpaceDE w:val="false"/>
      <w:spacing w:lineRule="exact" w:line="293"/>
      <w:ind w:firstLine="670" w:left="0" w:right="0"/>
    </w:pPr>
    <w:rPr>
      <w:rFonts w:eastAsia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2776</TotalTime>
  <Application>LibreOffice/7.6.6.3$Linux_X86_64 LibreOffice_project/60$Build-3</Application>
  <AppVersion>15.0000</AppVersion>
  <Pages>5</Pages>
  <Words>929</Words>
  <Characters>6637</Characters>
  <CharactersWithSpaces>7663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2015-08-21T10:25:00Z</dcterms:created>
  <dc:creator>4</dc:creator>
  <dc:description/>
  <cp:keywords/>
  <dc:language>ru-RU</dc:language>
  <cp:lastModifiedBy/>
  <cp:lastPrinted>2024-05-13T09:58:00Z</cp:lastPrinted>
  <dcterms:modified xsi:type="dcterms:W3CDTF">2024-09-12T14:13:24Z</dcterms:modified>
  <cp:revision>139</cp:revision>
  <dc:subject/>
  <dc:title>Приложение 5</dc:title>
</cp:coreProperties>
</file>