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876"/>
      </w:tblGrid>
      <w:tr>
        <w:trPr>
          <w:trHeight w:val="31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Глава Петровского</w:t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 округа </w:t>
            </w:r>
          </w:p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Ставропольского края</w:t>
              <w:tab/>
              <w:tab/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  <w:t xml:space="preserve">                             Н.В.Конкина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декабр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2"/>
        <w:gridCol w:w="27"/>
        <w:gridCol w:w="3969"/>
        <w:gridCol w:w="1559"/>
        <w:gridCol w:w="2127"/>
        <w:gridCol w:w="1815"/>
        <w:gridCol w:w="27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842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 П.Гайдара,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центральные улицы города,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Всероссийской олимпиады школьников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01.12 -1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Мероприятия в рамках празднования Дня Матери-казачки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02.12 -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щённые Дню Неизвестного солдата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микрорайона «Победа»,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 образовательные 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рабочей группы по подготовке доклада главы Петровского муниципального округа Ставропольского края о достигнутых значениях показателей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3-х летний период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9.11.2024,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есено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29.11.2024)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 несовершеннолетних и защите их прав Петровск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муниципального округа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Е.Н.,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9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«Дом детского творчества»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агитбригад волонтерских отрядов Петровского муниципального округа, посвяще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Всемирному Дню добровольца (волонтера)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 детского творчества»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Конституции РФ, Дню прав человека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05.12-12.12.2024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Муниципальный этап краевого фестиваля самодеятельного детского творчества «Дети, радость, мир» (солисты, танцевальные коллективы, хоры)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 детского творчества»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по обеспечению экономической стабильности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Петровском муниципальном округе Ставропольского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экономической и социальной поддержке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№2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памяти И.А. Толстого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ФОК «Победа»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Международному дню борьбы с коррупцией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08.12 - 10.12.2024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 образовательные организации, территория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округа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для людей с ограниченными возможностями здоровья «Хрупкая душа»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«Петровский организационно – 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ческий центр»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Героев Отечества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им.А.П. Гайдара, образовательные организации</w:t>
            </w:r>
          </w:p>
          <w:p>
            <w:pPr>
              <w:pStyle w:val="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Зональный этап краевой конкурсной выставки детских школ искусств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10.12.2024.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Ипатово, Детская школа искусств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седание Совета руководителей учреждений культуры, дополнительного образования в сфере культуры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Светлограда»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Торжественное мероприятие «Мы – гра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дане России!», посвященное празднов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нию Дня Конституции РФ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рабочей группы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Аукцион на право заключения договора на размещение нестационарного торгового объекта (объекта по предоставлению услуг) на территории Петровского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№ 213 администрации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рскова Л,П,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санитарно-противоэпидемической комиссии Петровского муниципального округа Ставропольского края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№2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детско-юношеский фестиваль «Ворошиловский стрелок»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«Петровски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организационно-методический центр»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Совета по улучшению инвестиционного климата в Петровском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униципальном округе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Заседание молодежного этнического совета при администрации Пе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ровского муниципального округа Ставропол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ского края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координационного совета по реализации молодежной политики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Ставропольского края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муниципальном округе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этап краевого 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нкурса хоровых и вокальных коллективов в номинации «Семейный альбом, связь поколений: любимые песни моей семьи»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«Дом детского творчества»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Гала-концерт фестиваля – конкурса молодых исполнителей «Восходящая звезда Петровского муниципального округа»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Светлограда»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работы по предметам в рамках подготовки к ГИА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отк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рытый кубок Петровского муниципального округа «Техника пешеходного туризма в закрытых помещениях»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зднованию Нового года и Рождества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19.12 –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Мероприятие, посвященное награждению участников реализации молодежной политики в Петровском муниципальном округе «Признание 2024»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20.12.2024,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Светлограда»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Светлограда»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Торжественное мероприятие, посвященное 50-летию МКУК «Дом культуры с. Шведи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«Дом культуры с. Шведино»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- ярмарка в рамках празднования Нового года и Рождества Христова под девизом «Покупай Ставропольское»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21.12.2024 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г.Светлограда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Торжественное мероприятие, посвященное закрытию Года семьи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«Центральный 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Светлограда»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Новогодняя акция «Праздник в каждый дом»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(поздравление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тей-инвалидов, детей участников СВО, находящихся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23.12-31.12.2024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администрации Петровского муниципального округа Ставропольского края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этнического совета Петровского муниципального округа Ставропол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 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совета Петровского муниципального округа Ставропольского края по делам казачества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Совет руководителей образовательных организаций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Всероссийского конкурса социальной рекламы антинаркотической направленности и пропаганды ЗОЖ «Спасем жизнь вместе»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Постояннодействующие семинары для учителей – предметников, педагогических работников образовательных организаций, педагогов дополнительного образования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рассмотрению заявлений по вопросу включения в схему размещения нестационарных торговых объектов, Схему размещения объектов по предоставлению услуг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заявлений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№ 213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оказанию государственной социальной помощи малоимущим гражданам на основании социального контракта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заявлений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аттестационной комиссии по 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 кандидатов на должность руководителя и руков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одителей образовательных организаций, подведомственных отделу образования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нфликта интересов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жом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заявл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общественной комиссии по жилищным вопросам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 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вицкая Н.В.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мероприятия по различным видам спорта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cantSplit/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санитарной очистке, благоустройству и озеленению территории муниципального округа в рамках экологической акции «Сохраним природу Ставрополья»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Каменецкая И.М., 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Пунев Е.И.</w:t>
            </w:r>
          </w:p>
        </w:tc>
      </w:tr>
      <w:tr>
        <w:trPr>
          <w:cantSplit/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</w:p>
        </w:tc>
      </w:tr>
      <w:tr>
        <w:trPr>
          <w:cantSplit/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установленном порядке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нтересов администрации Петровского муниципального округа в судах общей юрисдикции, арбитражных судах, правоохранительных и контролирующих органах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суды общей юрисдикции, арбитражные суды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О.А.,</w:t>
            </w:r>
          </w:p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Г.П.,</w:t>
            </w:r>
          </w:p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>
          <w:cantSplit/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 с участием служб системы профилактики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 Кравченко Л.А.</w:t>
            </w:r>
          </w:p>
        </w:tc>
      </w:tr>
      <w:tr>
        <w:trPr>
          <w:cantSplit/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по расчистке берегов водных объектов от мусора «Вода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Каменецкая И.М.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/>
          <w:trHeight w:val="11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выявлению несанкционированных свалок в Петровском муниципальном округе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В.Б.,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cantSplit/>
          <w:trHeight w:val="89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Рейдовые мероприятия в цыганские семьи, ведущие асоциальный образ жизни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cantSplit/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благоустройству территории населенных пунктов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А..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ликвидации несанкционированной торговли на территории Петровского муниципального округа, составление протоколов об административных правонарушениях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82" w:type="dxa"/>
            <w:textDirection w:val="lrTb"/>
            <w:vAlign w:val="top"/>
          </w:tcPr>
          <w:p>
            <w:pPr>
              <w:pStyle w:val="Normal"/>
              <w:numPr>
                <w:numId w:val="7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gridSpan w:val="2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проверке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</w:t>
      </w:r>
      <w:r>
        <w:rPr>
          <w:rFonts w:ascii="Times New Roman" w:hAnsi="Times New Roman" w:eastAsia="Times New Roman"/>
          <w:sz w:val="28"/>
          <w:szCs w:val="28"/>
        </w:rPr>
        <w:t xml:space="preserve">ого края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 Ю.В.Петрич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134" w:right="624" w:bottom="567" w:left="1247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2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6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10748</Characters>
  <CharactersWithSpaces>12608</CharactersWithSpaces>
  <Company>Microsoft</Company>
  <DocSecurity>0</DocSecurity>
  <HyperlinksChanged>false</HyperlinksChanged>
  <Lines>89</Lines>
  <Pages>7</Pages>
  <Paragraphs>25</Paragraphs>
  <ScaleCrop>false</ScaleCrop>
  <SharedDoc>false</SharedDoc>
  <Template>Normal</Template>
  <Words>1885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1024</cp:revision>
  <dcterms:created xsi:type="dcterms:W3CDTF">2018-09-07T11:42:00Z</dcterms:created>
  <dcterms:modified xsi:type="dcterms:W3CDTF">2024-11-28T06:36:00Z</dcterms:modified>
  <cp:version>1048576</cp:version>
</cp:coreProperties>
</file>