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3876"/>
      </w:tblGrid>
      <w:tr>
        <w:trPr>
          <w:trHeight w:val="31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</w:p>
        </w:tc>
      </w:tr>
      <w:tr>
        <w:trPr>
          <w:trHeight w:val="123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ровского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польского края</w:t>
              <w:tab/>
              <w:tab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Н.В.Конкина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 на </w:t>
      </w:r>
      <w:r>
        <w:rPr>
          <w:rFonts w:ascii="Times New Roman" w:hAnsi="Times New Roman"/>
          <w:sz w:val="28"/>
          <w:szCs w:val="28"/>
        </w:rPr>
        <w:t xml:space="preserve">октябрь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80" w:firstRow="0" w:lastRow="0" w:firstColumn="1" w:lastColumn="0" w:noHBand="0" w:noVBand="1"/>
      </w:tblPr>
      <w:tblGrid>
        <w:gridCol w:w="709"/>
        <w:gridCol w:w="3544"/>
        <w:gridCol w:w="1559"/>
        <w:gridCol w:w="1985"/>
        <w:gridCol w:w="1984"/>
      </w:tblGrid>
      <w:tr>
        <w:trPr/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2126"/>
        <w:gridCol w:w="1843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ню пож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01.10 -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Пет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«ФОК «Победа»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Туртупиди Н.И.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«Школа – территория здоровья и без наркотиков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делам несовершеннолетних и защите их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«Родное Ставрополье – территория толерантности»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25.10.2024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бразовательные организации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9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Всероссийский урок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«ОБЖ», приуроченн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ко Дню гражданской обороны Российской Федерации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роста»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-10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 посвященное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«Центральный дом культуры г.Светлограда»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Н.А., 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Осенняя выставка-ярмарка «Покупай ставропольское»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ентральная площадь г.Светлограда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длинною в век»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«Центральный Дом культуры г.Светлограда»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Асланова И.В.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священные 100-летию со дня образования Петровского района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10-12.10.2024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округа, учреждения культуры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фестивале юных художников «Уникум»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г.Санкт Петербург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19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Постоянно действующий семинар для заместителей по ВМР и педагогов, входящих в кадровый резерв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48 «Одуванчик»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-10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Окружной фестиваль открытых уроков «Педагогика творчества. Мой лучший урок»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11.10.2024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№ 6 им. Г.В. Батищева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Гофицкое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100-летию Дон-Балковского филиала № 16 МКУК «Петровская централизованна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Дон-Балковски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 № 16 МКУК «Петровская централизованна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ежегодном конкурсе детских художественных работ Общероссийской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общественной организации «Ассоциация юристов России»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Ставрополь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административной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Мишура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Нехаенко О.А.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для молодежи доп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ризывного и призывного возраста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ерритория памятника воинам-землякам, погибшим в 1941-1945 гг,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г.Светлоград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«Мы выбираем жизнь без наркотиков»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22.10.2024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им. А.П.Гайдара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администрации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Петрич Ю.В. Кулькина С.Н.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руководителей общеобразовательных организаций Петровского муниципального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23.10.2024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Сухая Буйвола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отца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24.10-26.10.2024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ерритория муниципального округа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общественного совета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оказывающими услу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 в сфере культуры на счет бюджетных ассигнований бюджета 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заседаний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общественного совета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65-летию МКУК «ДК с.Просянка»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«ДК с.Просянка»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села Сухая Буйвола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09..00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 с.Сухая Буйвола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села Высоцкого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26.10.2024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«ДК с.Высоцкое»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турнир по волейболу, посвященный памяти Динека Алексея Викторовича, погибшего в ходе СВО по освобождению Донбасса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«Спортивный зал села Мартыновка» 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 А.А.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семинар с работниками культуры Петровского муниципального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«Петровский организационно-методический центр»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образовательных организаций Петро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вского муниципального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повышению устойчивости функционирования объектов экономики, расположенных на территории Петровского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 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кина С.Н.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общественной комиссии по жилищным вопросам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Лохвицкая Н.В.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осуществлению закупок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пальных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Маринкевич А.А.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омственной комиссии по вопросам добр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вольного переселения в Петровский муниципальный округ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ропольского края соотечестве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ников, проживающих за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жом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 № 2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мероприятий по различным видам спорта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Казанцев А.А.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рейдов с участием служб системы профилактики, 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семей, находящихся в 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–опасном положении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Л.А.</w:t>
            </w:r>
          </w:p>
        </w:tc>
      </w:tr>
      <w:tr>
        <w:trPr>
          <w:trHeight w:val="3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проверок условий жизни совершеннолетних недееспособных граждан, детей – сирот и детей, оставшихся без попечения родителей, воспитывающихся в замещающих семьях, соблюдения опекунами (попечителями), приемными родителями их прав и законных интересов, составление актов обследования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месту жительства подопечных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Л.А.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выявлению несанкционированных свалок в Петровском муниципальном округе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Петрич Ю.В.,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благоустройству территории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ликвидации несанкционированной торговли на территории Петровского муниципального округа Ставропольского края,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Светлограда, сельских населенных пунктов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  <w:spacing w:line="240" w:lineRule="exact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социально-экономического развития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стратегического планирования и инвестиций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Кириленко Л.В.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Заместитель главы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Петровского </w:t>
      </w:r>
      <w:r>
        <w:rPr>
          <w:rFonts w:ascii="Times New Roman" w:hAnsi="Times New Roman" w:eastAsia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eastAsia="Times New Roman"/>
          <w:sz w:val="24"/>
          <w:szCs w:val="24"/>
        </w:rPr>
        <w:t xml:space="preserve"> округа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 w:eastAsia="Times New Roman"/>
          <w:sz w:val="24"/>
          <w:szCs w:val="24"/>
        </w:rPr>
        <w:t xml:space="preserve">       </w:t>
      </w:r>
      <w:r>
        <w:rPr>
          <w:rFonts w:ascii="Times New Roman" w:hAnsi="Times New Roman" w:eastAsia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Ю.В. Петрич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Федорян Н.В.</w:t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4-</w:t>
      </w:r>
      <w:r>
        <w:rPr>
          <w:rFonts w:ascii="Times New Roman" w:hAnsi="Times New Roman"/>
          <w:sz w:val="20"/>
          <w:szCs w:val="20"/>
        </w:rPr>
        <w:t xml:space="preserve">07-24</w:t>
      </w:r>
      <w:r>
        <w:rPr>
          <w:rFonts w:ascii="Times New Roman" w:hAnsi="Times New Roman"/>
          <w:sz w:val="20"/>
          <w:szCs w:val="20"/>
        </w:rPr>
        <w:t xml:space="preserve"> (7713)</w:t>
      </w:r>
    </w:p>
    <w:sectPr>
      <w:headerReference w:type="default" r:id="rId7"/>
      <w:type w:val="nextPage"/>
      <w:pgSz w:w="11906" w:h="16838"/>
      <w:pgMar w:top="1134" w:right="624" w:bottom="567" w:left="1418" w:header="567" w:footer="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64" w:hanging="180"/>
      </w:pPr>
    </w:lvl>
  </w:abstractNum>
  <w:abstractNum w:abstractNumId="2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34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2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2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64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67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72" w:hanging="1800"/>
      </w:pPr>
    </w:lvl>
  </w:abstractNum>
  <w:abstractNum w:abstractNumId="3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Нижний колонтитул Знак"/>
    <w:next w:val="UserStyle_1"/>
    <w:link w:val="Footer"/>
    <w:uiPriority w:val="99"/>
    <w:semiHidden/>
    <w:rPr>
      <w:sz w:val="22"/>
      <w:szCs w:val="22"/>
      <w:lang w:eastAsia="en-US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rFonts w:ascii="Times New Roman" w:hAnsi="Times New Roman" w:eastAsia="Calibri" w:cs="Times New Roman"/>
      <w:sz w:val="28"/>
    </w:rPr>
  </w:style>
  <w:style w:type="paragraph" w:styleId="User">
    <w:name w:val="Без интервала"/>
    <w:next w:val="User"/>
    <w:link w:val="UserStyle_4"/>
    <w:uiPriority w:val="1"/>
    <w:qFormat/>
    <w:rPr>
      <w:sz w:val="22"/>
      <w:szCs w:val="22"/>
      <w:lang w:val="ru-RU" w:eastAsia="en-US" w:bidi="ar-SA"/>
    </w:rPr>
  </w:style>
  <w:style w:type="paragraph" w:styleId="BodyText">
    <w:name w:val="Основной текст"/>
    <w:basedOn w:val="Normal"/>
    <w:next w:val="BodyText"/>
    <w:link w:val="UserStyle_5"/>
    <w:unhideWhenUsed/>
    <w:pPr>
      <w:jc w:val="center"/>
    </w:pPr>
    <w:rPr>
      <w:rFonts w:ascii="Times New Roman" w:hAnsi="Times New Roman" w:eastAsia="Times New Roman"/>
      <w:sz w:val="24"/>
      <w:szCs w:val="20"/>
      <w:lang w:val="en-US" w:eastAsia="en-US"/>
    </w:rPr>
  </w:style>
  <w:style w:type="character" w:styleId="UserStyle_5">
    <w:name w:val="Основной текст Знак"/>
    <w:next w:val="UserStyle_5"/>
    <w:link w:val="BodyText"/>
    <w:rPr>
      <w:rFonts w:ascii="Times New Roman" w:hAnsi="Times New Roman" w:eastAsia="Times New Roman"/>
      <w:sz w:val="24"/>
    </w:rPr>
  </w:style>
  <w:style w:type="paragraph" w:styleId="HtmlNormal">
    <w:name w:val="Обычный (Интернет)"/>
    <w:basedOn w:val="Normal"/>
    <w:next w:val="HtmlNormal"/>
    <w:link w:val="Normal"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UserStyle_4">
    <w:name w:val="Без интервала Знак"/>
    <w:next w:val="UserStyle_4"/>
    <w:link w:val="User"/>
    <w:uiPriority w:val="1"/>
    <w:locked/>
    <w:rPr>
      <w:sz w:val="22"/>
      <w:szCs w:val="22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6930</Characters>
  <CharactersWithSpaces>8129</CharactersWithSpaces>
  <Company>Microsoft</Company>
  <DocSecurity>0</DocSecurity>
  <HyperlinksChanged>false</HyperlinksChanged>
  <Lines>57</Lines>
  <Pages>5</Pages>
  <Paragraphs>16</Paragraphs>
  <ScaleCrop>false</ScaleCrop>
  <SharedDoc>false</SharedDoc>
  <Template>Normal</Template>
  <Words>1215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вкен</dc:creator>
  <cp:lastModifiedBy>Федорян Наталья Васильевна</cp:lastModifiedBy>
  <cp:revision>4</cp:revision>
  <dcterms:created xsi:type="dcterms:W3CDTF">2024-10-01T08:39:00Z</dcterms:created>
  <dcterms:modified xsi:type="dcterms:W3CDTF">2024-10-01T08:41:00Z</dcterms:modified>
  <cp:version>1048576</cp:version>
</cp:coreProperties>
</file>