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ИНФОРМАЦИЯ</w:t>
      </w:r>
    </w:p>
    <w:p>
      <w:pPr>
        <w:pStyle w:val="Normal"/>
        <w:spacing w:lineRule="exact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о социально-экономическом развитии</w:t>
      </w:r>
    </w:p>
    <w:p>
      <w:pPr>
        <w:pStyle w:val="Normal"/>
        <w:spacing w:lineRule="exact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Петровского городского округа Ставропольского края </w:t>
      </w:r>
    </w:p>
    <w:p>
      <w:pPr>
        <w:pStyle w:val="Normal"/>
        <w:spacing w:lineRule="exact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за первый квартал 202</w:t>
      </w:r>
      <w:r>
        <w:rPr>
          <w:rFonts w:eastAsia="" w:cs="" w:ascii="Times New Roman" w:hAnsi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Lucida Sans Unicode" w:cs="Tahoma"/>
          <w:bCs/>
          <w:sz w:val="21"/>
          <w:szCs w:val="21"/>
          <w:shd w:fill="auto" w:val="clear"/>
        </w:rPr>
      </w:pPr>
      <w:r>
        <w:rPr>
          <w:rFonts w:eastAsia="Lucida Sans Unicode" w:cs="Tahoma" w:ascii="Times New Roman" w:hAnsi="Times New Roman"/>
          <w:bCs/>
          <w:sz w:val="21"/>
          <w:szCs w:val="21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Lucida Sans Unicode" w:cs="Tahoma" w:ascii="Times New Roman" w:hAnsi="Times New Roman"/>
          <w:bCs/>
          <w:sz w:val="28"/>
          <w:szCs w:val="28"/>
          <w:shd w:fill="auto" w:val="clear"/>
        </w:rPr>
        <w:t>По статистическим данным о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бъем отгруженных товаров собственного производства, выполненных работ и услуг собственными силами по «чистым» видам экономической деятельности по крупным и средним организациям составил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2342,34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млн. рублей, темп роста к показателю </w:t>
      </w:r>
      <w:r>
        <w:rPr>
          <w:rFonts w:eastAsia="Lucida Sans Unicode" w:cs="Tahoma" w:ascii="Times New Roman" w:hAnsi="Times New Roman"/>
          <w:bCs/>
          <w:sz w:val="28"/>
          <w:szCs w:val="28"/>
          <w:shd w:fill="auto" w:val="clear"/>
        </w:rPr>
        <w:t>за январь — февраль 202</w:t>
      </w:r>
      <w:r>
        <w:rPr>
          <w:rFonts w:eastAsia="Lucida Sans Unicode" w:cs="Tahoma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Lucida Sans Unicode" w:cs="Tahoma" w:ascii="Times New Roman" w:hAnsi="Times New Roman"/>
          <w:bCs/>
          <w:sz w:val="28"/>
          <w:szCs w:val="28"/>
          <w:shd w:fill="auto" w:val="clear"/>
        </w:rPr>
        <w:t xml:space="preserve"> года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составил 1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51,6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>%.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hd w:fill="FFFF00" w:val="clear"/>
        </w:rPr>
      </w:pPr>
      <w:r>
        <w:rPr>
          <w:rFonts w:eastAsia="Lucida Sans Unicode" w:cs="Tahoma" w:ascii="Times New Roman" w:hAnsi="Times New Roman"/>
          <w:b/>
          <w:sz w:val="28"/>
          <w:szCs w:val="28"/>
          <w:shd w:fill="auto" w:val="clear"/>
        </w:rPr>
        <w:t>По промышленным видам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экономической деятельности данный показатель увеличился до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1329,61 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млн. рублей, темп роста составил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108,3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%. 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>На долю обрабатывающих производств в объеме отгруженных товаров собственного производства промышленных предприятий приходится около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61,3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 xml:space="preserve">%. 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>Обрабатывающими предприятиями за январь - февраль 202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года отгружено товаров собственного производства на сумму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815,13 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млн. рублей (темп роста к показателю аналогичного периода прошлого года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112,2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>%).</w:t>
      </w:r>
      <w:r>
        <w:rPr>
          <w:rFonts w:eastAsia="Lucida Sans Unicode" w:cs="Times New Roman" w:ascii="Times New Roman" w:hAnsi="Times New Roman"/>
          <w:bCs/>
          <w:sz w:val="28"/>
          <w:szCs w:val="28"/>
          <w:shd w:fill="FFFF00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shd w:fill="auto" w:val="clear"/>
        </w:rPr>
      </w:pPr>
      <w:r>
        <w:rPr>
          <w:rFonts w:eastAsia="Lucida Sans Unicode" w:cs="Tahoma" w:ascii="Times New Roman" w:hAnsi="Times New Roman"/>
          <w:b/>
          <w:sz w:val="28"/>
          <w:szCs w:val="28"/>
          <w:shd w:fill="auto" w:val="clear"/>
        </w:rPr>
        <w:t>Сельскохозяйственными предприятиями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за январь - февраль 202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года отгружено товаров собственного производства на сумму 368,37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>млн. рублей, что в 1,7 раза превышает значение показателя за аналогичный период 202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Lucida Sans Unicode" w:cs="Tahoma" w:ascii="Times New Roman" w:hAnsi="Times New Roman"/>
          <w:sz w:val="28"/>
          <w:szCs w:val="28"/>
          <w:shd w:fill="auto" w:val="clear"/>
        </w:rPr>
        <w:t xml:space="preserve"> года.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 оперативным данным в хозяйствах всех категорий на 01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года содержалось: крупного рогатого скота 8,9 </w:t>
      </w:r>
      <w:bookmarkStart w:id="0" w:name="__DdeLink__169_1445205933"/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тыс. голов,</w:t>
      </w:r>
      <w:bookmarkEnd w:id="0"/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в том числе  4,5 тыс. голов коров дойного стада, свиней около 9,6 тыс. голов, овец                   1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,9 тыс. голов, птицы 1,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млн. голов. 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В I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квартале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года в хозяйствах всех категорий произведено (выращено) мяса скота и птицы 6,2 тыс. тонн, что составляет 95,0% к показателю прошлого года. Производство молока составило 3,8 тыс. тонн. Удой на 1 корову дойного стада в сельскохозяйственных организациях составил 1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340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килограммов.</w:t>
      </w:r>
    </w:p>
    <w:p>
      <w:pPr>
        <w:pStyle w:val="Normal"/>
        <w:spacing w:lineRule="auto" w:line="240" w:before="0" w:after="0"/>
        <w:ind w:firstLine="708"/>
        <w:jc w:val="both"/>
        <w:rPr>
          <w:shd w:fill="FFFF00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По виду экономической деятельности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</w:rPr>
        <w:t>«строительство»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за январь - 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>февраль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года выполнено работ на сумму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597,86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млн. рублей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(в аналогичном периоде 2022 года — 17,41 млн. рублей).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color w:val="auto"/>
          <w:shd w:fill="auto" w:val="clear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>За счет средств индивидуальных застройщико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в в январе - феврале 202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года введен в эксплуатацию 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1441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 xml:space="preserve"> кв. м. жилых площадей или 69,8% к показателю аналогичного периода 2022 года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Объем платных услуг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 xml:space="preserve"> населению, оказанных организациями, не относящимся к субъектам МСП, за январь - 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>февраль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2023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 xml:space="preserve"> года увеличился до </w:t>
      </w:r>
      <w:r>
        <w:rPr>
          <w:rFonts w:eastAsia="Lucida Sans Unicode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995,69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</w:rPr>
        <w:t xml:space="preserve">млн. рублей, 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 xml:space="preserve">что в 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3,3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 xml:space="preserve"> раза превышает значение показателя за аналогичный период 202</w:t>
      </w:r>
      <w:r>
        <w:rPr>
          <w:rFonts w:eastAsia="Lucida Sans Unicode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Lucida Sans Unicode" w:cs="Tahoma" w:ascii="Times New Roman" w:hAnsi="Times New Roman"/>
          <w:color w:val="000000"/>
          <w:sz w:val="28"/>
          <w:szCs w:val="28"/>
          <w:shd w:fill="auto" w:val="clear"/>
        </w:rPr>
        <w:t xml:space="preserve"> года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8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Сальдированный финансовый результат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организаций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(без субъектов малого предпринимательства, банков, страховых организаций и бюджетных учреждений)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 январь 202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года сложился положительным и составил 96,1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млн. рублей. Прибыль в размере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119,9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млн. рублей получили 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64,3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% предприятий округа. Убыток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23,8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млн. рублей получили 35,7% общего количества предприятий.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/>
      </w:pPr>
      <w:r>
        <w:rPr>
          <w:rFonts w:eastAsia="Lucida Sans Unicode" w:cs="Tahoma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За январь 202</w:t>
      </w:r>
      <w:r>
        <w:rPr>
          <w:rFonts w:eastAsia="Lucida Sans Unicode" w:cs="Tahoma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Lucida Sans Unicode" w:cs="Tahoma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 года </w:t>
      </w:r>
      <w:r>
        <w:rPr>
          <w:rFonts w:eastAsia="Lucida Sans Unicode" w:cs="Tahoma" w:ascii="Times New Roman" w:hAnsi="Times New Roman"/>
          <w:b/>
          <w:bCs/>
          <w:sz w:val="28"/>
          <w:szCs w:val="28"/>
          <w:shd w:fill="auto" w:val="clear"/>
          <w:lang w:eastAsia="ru-RU"/>
        </w:rPr>
        <w:t>с</w:t>
      </w:r>
      <w:hyperlink r:id="rId2" w:tgtFrame="Производство цельнозерновой запущено!">
        <w:r>
          <w:rPr>
            <w:rFonts w:eastAsia="Lucida Sans Unicode" w:cs="Times New Roman" w:ascii="Times New Roman" w:hAnsi="Times New Roman"/>
            <w:b/>
            <w:bCs/>
            <w:sz w:val="28"/>
            <w:szCs w:val="28"/>
            <w:shd w:fill="auto" w:val="clear"/>
            <w:lang w:eastAsia="ru-RU"/>
          </w:rPr>
          <w:t>ре</w:t>
        </w:r>
        <w:r>
          <w:rPr>
            <w:rFonts w:eastAsia="Lucida Sans Unicode" w:cs="Times New Roman" w:ascii="Times New Roman" w:hAnsi="Times New Roman"/>
            <w:b/>
            <w:sz w:val="28"/>
            <w:szCs w:val="28"/>
            <w:shd w:fill="auto" w:val="clear"/>
            <w:lang w:eastAsia="ru-RU"/>
          </w:rPr>
          <w:t>днесписочная численность</w:t>
        </w:r>
      </w:hyperlink>
      <w:hyperlink r:id="rId3" w:tgtFrame="Производство цельнозерновой запущено!">
        <w:r>
          <w:rPr>
            <w:rFonts w:eastAsia="Lucida Sans Unicode" w:cs="Times New Roman" w:ascii="Times New Roman" w:hAnsi="Times New Roman"/>
            <w:sz w:val="28"/>
            <w:szCs w:val="28"/>
            <w:shd w:fill="auto" w:val="clear"/>
            <w:lang w:eastAsia="ru-RU"/>
          </w:rPr>
          <w:t xml:space="preserve"> работников </w:t>
        </w:r>
      </w:hyperlink>
      <w:r>
        <w:rPr>
          <w:rFonts w:eastAsia="Lucida Sans Unicode" w:cs="Times New Roman" w:ascii="Times New Roman" w:hAnsi="Times New Roman"/>
          <w:sz w:val="28"/>
          <w:szCs w:val="28"/>
          <w:shd w:fill="auto" w:val="clear"/>
          <w:lang w:eastAsia="ru-RU"/>
        </w:rPr>
        <w:t>организаций, не относящихся к субъектам малого и среднего предпринимательства (далее — субъект МСП) осталась на уровне аналогичного периода 202</w:t>
      </w:r>
      <w:r>
        <w:rPr>
          <w:rFonts w:eastAsia="Lucida Sans Unicode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sz w:val="28"/>
          <w:szCs w:val="28"/>
          <w:shd w:fill="auto" w:val="clear"/>
          <w:lang w:eastAsia="ru-RU"/>
        </w:rPr>
        <w:t xml:space="preserve"> года и составила 10,</w:t>
      </w:r>
      <w:r>
        <w:rPr>
          <w:rFonts w:eastAsia="Lucida Sans Unicode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Lucida Sans Unicode" w:cs="Times New Roman" w:ascii="Times New Roman" w:hAnsi="Times New Roman"/>
          <w:sz w:val="28"/>
          <w:szCs w:val="28"/>
          <w:shd w:fill="auto" w:val="clear"/>
          <w:lang w:eastAsia="ru-RU"/>
        </w:rPr>
        <w:t xml:space="preserve"> тыс. человек.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08"/>
        <w:jc w:val="both"/>
        <w:rPr>
          <w:shd w:fill="auto" w:val="clear"/>
        </w:rPr>
      </w:pPr>
      <w:hyperlink r:id="rId4" w:tgtFrame="Производство цельнозерновой запущено!">
        <w:r>
          <w:rPr>
            <w:rFonts w:eastAsia="Lucida Sans Unicode" w:cs="Times New Roman" w:ascii="Times New Roman" w:hAnsi="Times New Roman"/>
            <w:b/>
            <w:color w:val="000000"/>
            <w:sz w:val="28"/>
            <w:szCs w:val="28"/>
            <w:shd w:fill="auto" w:val="clear"/>
            <w:lang w:eastAsia="ru-RU"/>
          </w:rPr>
          <w:t>Среднемесячная начисленная заработная плата</w:t>
        </w:r>
      </w:hyperlink>
      <w:hyperlink r:id="rId5" w:tgtFrame="Производство цельнозерновой запущено!">
        <w:r>
          <w:rPr>
            <w:rFonts w:eastAsia="Lucida Sans Unicode" w:cs="Times New Roman" w:ascii="Times New Roman" w:hAnsi="Times New Roman"/>
            <w:color w:val="000000"/>
            <w:sz w:val="28"/>
            <w:szCs w:val="28"/>
            <w:shd w:fill="auto" w:val="clear"/>
            <w:lang w:eastAsia="ru-RU"/>
          </w:rPr>
          <w:t xml:space="preserve"> работников  </w:t>
        </w:r>
      </w:hyperlink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организаций, не относящихся к субъектам МСП, увеличилась до </w:t>
      </w:r>
      <w:r>
        <w:rPr>
          <w:rFonts w:eastAsia="Lucida Sans Unicode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35876,9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рублей, темп роста к январю 202</w:t>
      </w:r>
      <w:r>
        <w:rPr>
          <w:rFonts w:eastAsia="Lucida Sans Unicode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года составил 113,5%.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shd w:fill="FFFF00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По данным ГКУ «ЦЗН Петровского района»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>уровень регистрируемой безработицы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по состоянию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марта 2023 года составлял 1,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% (на 30 марта 2022 года — 1,2%). Численность официально зарегистрированных безработных 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427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человек,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отребность в работниках, заявленная работодателями в органы службы занятости населения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716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человек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(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 состоянию на 30 марта 2022 года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391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человек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и 663 человека соответственно)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</w:t>
        <w:tab/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В округе сохраняется негативная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демографическая ситуация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По данным Управления ЗАГС Ставропольского края общее число родившихся в округе за январь - март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года (104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новорожденных) 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2,6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раза ниже, чем количество умерших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269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человек) (в январе - марте 2022 года 118 новорожденных и 367 умерших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). Несмотря на сохраняющиеся негативные тенденции в I квартале 2023 отмечается сокращение естественной убыли населения с 249 человек в аналогичном периоде прошлого года до 165 человек в отчетном периоде.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Первый заместитель главы администрации -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администрации Петровского городского 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округа Ставропольского края                                                    В.П.Сухомлинова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исп. Амелина А.А.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8(86547)4-05-36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985" w:right="56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ejaVu Sans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6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ec10e6"/>
    <w:rPr>
      <w:rFonts w:ascii="Calibri" w:hAnsi="Calibri" w:eastAsia="Times New Roman" w:cs="Times New Roman"/>
    </w:rPr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ba7f6a"/>
    <w:rPr>
      <w:rFonts w:ascii="Times New Roman" w:hAnsi="Times New Roman" w:eastAsia="Lucida Sans Unicode" w:cs="Times New Roman"/>
      <w:sz w:val="24"/>
      <w:szCs w:val="20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f5d2f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20"/>
    <w:uiPriority w:val="99"/>
    <w:unhideWhenUsed/>
    <w:qFormat/>
    <w:rsid w:val="00ec10e6"/>
    <w:pPr>
      <w:spacing w:lineRule="auto" w:line="480" w:before="0" w:after="120"/>
      <w:ind w:left="283" w:hanging="0"/>
    </w:pPr>
    <w:rPr>
      <w:rFonts w:ascii="Calibri" w:hAnsi="Calibri" w:eastAsia="Times New Roman" w:cs="Times New Roman"/>
    </w:rPr>
  </w:style>
  <w:style w:type="paragraph" w:styleId="NormalWeb">
    <w:name w:val="Normal (Web)"/>
    <w:basedOn w:val="Normal"/>
    <w:uiPriority w:val="99"/>
    <w:qFormat/>
    <w:rsid w:val="00a95d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unhideWhenUsed/>
    <w:qFormat/>
    <w:rsid w:val="00ba7f6a"/>
    <w:pPr>
      <w:widowControl w:val="false"/>
      <w:suppressAutoHyphens w:val="true"/>
      <w:spacing w:lineRule="auto" w:line="480" w:before="0" w:after="120"/>
    </w:pPr>
    <w:rPr>
      <w:rFonts w:ascii="Times New Roman" w:hAnsi="Times New Roman" w:eastAsia="Lucida Sans Unicode" w:cs="Times New Roman"/>
      <w:sz w:val="24"/>
      <w:szCs w:val="20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trovskienivi.ru/index.php?id=234" TargetMode="External"/><Relationship Id="rId3" Type="http://schemas.openxmlformats.org/officeDocument/2006/relationships/hyperlink" Target="https://petrovskienivi.ru/index.php?id=234" TargetMode="External"/><Relationship Id="rId4" Type="http://schemas.openxmlformats.org/officeDocument/2006/relationships/hyperlink" Target="https://petrovskienivi.ru/index.php?id=234" TargetMode="External"/><Relationship Id="rId5" Type="http://schemas.openxmlformats.org/officeDocument/2006/relationships/hyperlink" Target="https://petrovskienivi.ru/index.php?id=23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2CAFB-44BB-4BD0-BC39-F470FAEA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Application>LibreOffice/7.0.6.2$Linux_X86_64 LibreOffice_project/00$Build-2</Application>
  <AppVersion>15.0000</AppVersion>
  <Pages>2</Pages>
  <Words>556</Words>
  <Characters>3556</Characters>
  <CharactersWithSpaces>4175</CharactersWithSpaces>
  <Paragraphs>23</Paragraphs>
  <Company>Администрация Петровского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2020-06-26T05:48:00Z</dcterms:created>
  <dc:creator>Отдел экономичесого развития</dc:creator>
  <dc:description/>
  <dc:language>ru-RU</dc:language>
  <cp:lastModifiedBy/>
  <cp:lastPrinted>2023-04-11T14:35:48Z</cp:lastPrinted>
  <dcterms:modified xsi:type="dcterms:W3CDTF">2023-04-11T14:36:11Z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