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 О С Т А Н О В Л Е Н И Е</w:t>
      </w:r>
    </w:p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АДМИНИСТРАЦИИ ПЕТРОВСКОГО ГОРОДСКОГО ОКРУГА</w:t>
      </w:r>
    </w:p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СТАВРОПОЛЬСКОГО КРАЯ</w:t>
      </w:r>
    </w:p>
    <w:p>
      <w:pPr>
        <w:numPr>
          <w:numId w:val="1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>
        <w:tc>
          <w:tcPr>
            <w:tcW w:w="3063" w:type="dxa"/>
          </w:tcPr>
          <w:p>
            <w:pPr>
              <w:widowControl w:val="off"/>
              <w:numPr>
                <w:numId w:val="1"/>
                <w:ilvl w:val="0"/>
              </w:numPr>
              <w:spacing w:after="0" w:line="240" w:lineRule="auto"/>
              <w:ind w:left="-10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20 ноября 2023 г.</w:t>
            </w:r>
          </w:p>
        </w:tc>
        <w:tc>
          <w:tcPr>
            <w:tcW w:w="3169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4" w:type="dxa"/>
          </w:tcPr>
          <w:p>
            <w:pPr>
              <w:widowControl w:val="off"/>
              <w:numPr>
                <w:numId w:val="1"/>
                <w:ilvl w:val="0"/>
              </w:num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№ 1904</w:t>
            </w:r>
          </w:p>
        </w:tc>
      </w:tr>
    </w:tbl>
    <w:p>
      <w:pPr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</w:p>
    <w:p>
      <w:pPr>
        <w:widowControl w:val="off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>
      <w:pPr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widowControl w:val="off"/>
        <w:spacing w:after="0" w:line="240" w:lineRule="exact"/>
        <w:rPr>
          <w:rFonts w:ascii="Times New Roman" w:hAnsi="Times New Roman" w:eastAsia="Calibri" w:cs="Times New Roman"/>
          <w:bCs/>
          <w:i/>
          <w:sz w:val="28"/>
          <w:szCs w:val="20"/>
        </w:rPr>
      </w:pPr>
    </w:p>
    <w:p>
      <w:pPr>
        <w:spacing w:after="0" w:line="240" w:lineRule="auto"/>
        <w:ind w:firstLine="708"/>
        <w:jc w:val="both"/>
      </w:pP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>
      <w:pPr>
        <w:widowControl w:val="off"/>
        <w:spacing w:after="0" w:line="240" w:lineRule="exact"/>
        <w:jc w:val="both"/>
        <w:rPr>
          <w:rFonts w:ascii="Times New Roman" w:hAnsi="Times New Roman" w:eastAsia="Calibri" w:cs="Times New Roman"/>
          <w:spacing w:val="4"/>
          <w:sz w:val="28"/>
          <w:szCs w:val="28"/>
        </w:rPr>
      </w:pPr>
    </w:p>
    <w:p>
      <w:pPr>
        <w:widowControl w:val="off"/>
        <w:spacing w:after="0" w:line="240" w:lineRule="exact"/>
        <w:jc w:val="both"/>
        <w:rPr>
          <w:rFonts w:ascii="Times New Roman" w:hAnsi="Times New Roman" w:eastAsia="Calibri" w:cs="Times New Roman"/>
          <w:spacing w:val="4"/>
          <w:sz w:val="28"/>
          <w:szCs w:val="28"/>
        </w:rPr>
      </w:pPr>
    </w:p>
    <w:p>
      <w:pPr>
        <w:widowControl w:val="o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>
      <w:pPr>
        <w:widowControl w:val="off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off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hAnsi="Times New Roman" w:eastAsia="Calibri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Петровского городского округа Ставропольского края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на 202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bookmarkStart w:id="0" w:name="OLE_LINK3"/>
      <w:bookmarkStart w:id="1" w:name="OLE_LINK4"/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d"/>
        <w:spacing w:beforeAutospacing="0" w:after="0" w:afterAutospacing="0"/>
        <w:ind w:right="-2" w:firstLine="709"/>
        <w:rPr>
          <w:color w:val="auto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 xml:space="preserve">Контроль за</w:t>
      </w:r>
      <w:r>
        <w:rPr>
          <w:color w:val="auto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r>
        <w:rPr>
          <w:color w:val="auto"/>
          <w:sz w:val="28"/>
          <w:szCs w:val="28"/>
        </w:rPr>
        <w:t xml:space="preserve">Бабыкина</w:t>
      </w:r>
      <w:r>
        <w:rPr>
          <w:color w:val="auto"/>
          <w:sz w:val="28"/>
          <w:szCs w:val="28"/>
        </w:rPr>
        <w:t xml:space="preserve"> А.И.</w:t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со дня его подписания.</w:t>
      </w:r>
    </w:p>
    <w:p>
      <w:pPr>
        <w:spacing w:line="240" w:lineRule="exact"/>
        <w:rPr>
          <w:rFonts w:ascii="Times New Roman" w:hAnsi="Times New Roman"/>
          <w:sz w:val="28"/>
          <w:szCs w:val="28"/>
        </w:rPr>
      </w:pPr>
    </w:p>
    <w:p>
      <w:pPr>
        <w:spacing w:line="240" w:lineRule="exact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bookmarkStart w:id="2" w:name="OLE_LINK1"/>
      <w:bookmarkStart w:id="3" w:name="OLE_LINK2"/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bookmarkEnd w:id="2"/>
      <w:bookmarkEnd w:id="3"/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вносит первый з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аместитель главы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Петровского городского округа Ставропольского края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А.И.Бабыкин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Визируют:</w:t>
      </w:r>
    </w:p>
    <w:p>
      <w:pPr>
        <w:tabs>
          <w:tab w:val="left" w:pos="-1134"/>
          <w:tab w:val="left" w:pos="8505"/>
        </w:tabs>
        <w:spacing w:after="0" w:line="240" w:lineRule="exact"/>
        <w:ind w:right="1274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-1134"/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Начальника правового отдела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Петровского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городского   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О.А.Нехаенко</w:t>
      </w:r>
    </w:p>
    <w:p>
      <w:pPr>
        <w:spacing w:after="0" w:line="240" w:lineRule="exact"/>
        <w:ind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tabs>
          <w:tab w:val="left" w:pos="-1134"/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Начальник отдела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организационно –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кадровым вопросам и профилактике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коррупционных правонарушений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администрации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Петровского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городского </w:t>
      </w:r>
    </w:p>
    <w:p>
      <w:pPr>
        <w:spacing w:after="0" w:line="240" w:lineRule="exact"/>
        <w:ind w:left="-1418" w:right="127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С.Н.Кулькина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Управляющий делами администрации </w:t>
      </w: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Петровского городского округа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Ю.В.Петрич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подготовлен отделом жилищного учета, строительства и муниципального контроля администрации Петровского городского округа Ставропольского края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И.С.Куницын</w:t>
      </w:r>
    </w:p>
    <w:p>
      <w:pPr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Утверждена</w:t>
      </w:r>
    </w:p>
    <w:p>
      <w:pPr>
        <w:spacing w:after="0" w:line="240" w:lineRule="exact"/>
        <w:ind w:firstLine="510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администрации</w:t>
      </w:r>
    </w:p>
    <w:p>
      <w:pPr>
        <w:spacing w:after="0" w:line="240" w:lineRule="exact"/>
        <w:ind w:firstLine="510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</w:t>
      </w:r>
    </w:p>
    <w:p>
      <w:pPr>
        <w:spacing w:after="0" w:line="240" w:lineRule="exact"/>
        <w:ind w:firstLine="5103"/>
        <w:jc w:val="center"/>
        <w:rPr>
          <w:rFonts w:ascii="Times New Roman" w:hAnsi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</w:t>
      </w:r>
    </w:p>
    <w:p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от 20 ноября 2023 г. № 1904</w:t>
      </w:r>
    </w:p>
    <w:p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Par44"/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OLE_LINK5"/>
      <w:bookmarkStart w:id="7" w:name="OLE_LINK6"/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муниципального жилищного контроля</w:t>
      </w:r>
      <w:bookmarkEnd w:id="6"/>
      <w:bookmarkEnd w:id="7"/>
      <w:r>
        <w:rPr>
          <w:rFonts w:ascii="Times New Roman" w:hAnsi="Times New Roman" w:eastAsia="Calibri" w:cs="Times New Roman"/>
          <w:bCs/>
          <w:spacing w:val="4"/>
          <w:sz w:val="28"/>
          <w:szCs w:val="28"/>
        </w:rPr>
        <w:t xml:space="preserve"> на территории Петровского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2024 год</w:t>
      </w:r>
    </w:p>
    <w:p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8" w:name="Par94"/>
      <w:bookmarkEnd w:id="8"/>
      <w:r>
        <w:rPr>
          <w:rFonts w:ascii="Times New Roman" w:hAnsi="Times New Roman" w:cs="Times New Roman"/>
          <w:bCs/>
          <w:sz w:val="28"/>
          <w:szCs w:val="28"/>
        </w:rPr>
        <w:t xml:space="preserve"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на территории Петровского городского округа Ставропольского края муниципального жилищного контроля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далее – муниципальный жилищный контроль).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Петровского городского округа Ставропольского края, Положением об администрации Петровского городского округа Ставропольского края, утвержденным решением Совета депутатов Петровского городского округа Ставропольского края от 08 декабря 2017 г. № 57 (с изменениями), администрация Петровского городского округа Ставропольского края (далее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округа</w:t>
      </w:r>
      <w:r>
        <w:rPr>
          <w:rFonts w:ascii="Times New Roman" w:hAnsi="Times New Roman" w:cs="Times New Roman"/>
          <w:sz w:val="28"/>
          <w:szCs w:val="28"/>
        </w:rPr>
        <w:t xml:space="preserve">) является уполномоченным органом по осуществлению муниципального жилищного контроля.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При осуществлении муниципального жилищного контроля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перепланировки и (или) переустройства помещений в многоквартирном доме;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требований к формированию фондов капитального ремонта;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требований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требований к обеспечению доступности для инвалидов помещений в многоквартирных домах;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требований к предоставлению жилых помещений в наемных домах социального использования;</w:t>
      </w:r>
    </w:p>
    <w:p>
      <w:pPr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 Подконтрольными субъектами муниципального жилищного контроля являются </w:t>
      </w:r>
      <w:r>
        <w:rPr>
          <w:rFonts w:ascii="Times New Roman" w:hAnsi="Times New Roman" w:eastAsia="Calibri"/>
          <w:sz w:val="28"/>
          <w:szCs w:val="28"/>
        </w:rPr>
        <w:t xml:space="preserve">юридические лица, индивидуальные предприниматели и граждане, исполняющие обязательные требования жилищного законодательства в отношении </w:t>
      </w:r>
      <w:r>
        <w:rPr>
          <w:rFonts w:ascii="Times New Roman" w:hAnsi="Times New Roman"/>
          <w:sz w:val="28"/>
          <w:szCs w:val="28"/>
        </w:rPr>
        <w:t xml:space="preserve">муниципального жилищного фонда.</w:t>
      </w:r>
    </w:p>
    <w:p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дминистраци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я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уполномоченных осуществлять муниципальный жилищный контроль, в 2022 году составляло 2 человека.</w:t>
      </w:r>
    </w:p>
    <w:p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6. В рамках развития и осуществления профилактической деятельности в границах Петровского городского округа Ставропольского края в 2022 году:</w:t>
      </w:r>
    </w:p>
    <w:p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поддерживались в актуальном состоянии и размещались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округа в информационно-телекоммуникационной сети «Интернет» (далее - официальный сайт Администрации округа) </w:t>
      </w:r>
      <w:r>
        <w:rPr>
          <w:rFonts w:ascii="Times New Roman" w:hAnsi="Times New Roman"/>
          <w:sz w:val="28"/>
          <w:szCs w:val="28"/>
        </w:rPr>
        <w:t xml:space="preserve">тексты нормативных правовых актов, регулирующих осуществление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поддерживался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лся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</w:t>
      </w: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>
      <w:pPr>
        <w:pStyle w:val="ConsPlusNormal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размещался на официальном сайте Администрации округа </w:t>
      </w: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риска; </w:t>
      </w:r>
    </w:p>
    <w:p>
      <w:pPr>
        <w:pStyle w:val="ConsPlusNormal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размещалась на официальном сайте Администрации округа информация о результатах осуществления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муниципального жилищного контроля.</w:t>
      </w:r>
    </w:p>
    <w:p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9" w:name="Par175"/>
      <w:bookmarkEnd w:id="9"/>
      <w:r>
        <w:rPr>
          <w:rFonts w:ascii="Times New Roman" w:hAnsi="Times New Roman" w:cs="Times New Roman"/>
          <w:bCs/>
          <w:sz w:val="28"/>
          <w:szCs w:val="28"/>
        </w:rPr>
        <w:t xml:space="preserve">Раздел II. Цели и задачи реализации программы профилактики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Основными целями программы профилактики являются: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Проведение профилактических мероприятий программы профилактики направлено на решение следующих задач: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Укрепление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нарушений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Повышение правосознания и правовой культуры руководителей  юридических лиц, индивидуальных предпринимателей и граждан;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III. Перечень профилактических мероприятий, сроки (периодичность) их проведения</w:t>
      </w: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608"/>
        <w:gridCol w:w="1700"/>
        <w:gridCol w:w="3543"/>
      </w:tblGrid>
      <w:t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Администрации округа, ответственный за реализацию</w:t>
            </w:r>
          </w:p>
        </w:tc>
      </w:tr>
      <w:t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</w:t>
            </w:r>
          </w:p>
          <w:p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</w:t>
            </w:r>
          </w:p>
        </w:tc>
        <w:tc>
          <w:tcPr>
            <w:tcW w:w="3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</w:tbl>
    <w:p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Консультирование контролируемых лиц осуществляется должностным лицом, уполномоченным осуществлять муниципальный жилищный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Консультирование осуществляется в устной или письменной форме по следующим вопросам:</w:t>
      </w:r>
    </w:p>
    <w:p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муниципального жилищного контроля;</w:t>
      </w:r>
    </w:p>
    <w:p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муниципальном жилищном контроле на территории Петровского городского округа Ставропольского края,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Петровского городского округа Ставропольского края от 25.08.2021 № 88 (с изменениями);</w:t>
      </w:r>
    </w:p>
    <w:p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жилищный контроль;</w:t>
      </w:r>
    </w:p>
    <w:p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о представлении письменного ответа по вопросам консультирования;</w:t>
      </w:r>
    </w:p>
    <w:p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время консультирования предоставить ответ на поставленные вопросы невозможно;</w:t>
      </w:r>
    </w:p>
    <w:p>
      <w:pPr>
        <w:pStyle w:val="ConsPlusNormal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ответ на поставленные вопросы требует дополнительного запроса сведений.</w:t>
      </w:r>
    </w:p>
    <w:p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IV. Показатели результативности и эффективности программы профилактики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</w:p>
        </w:tc>
      </w:tr>
      <w:t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</w:p>
        </w:tc>
      </w:tr>
      <w:t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обратившихся</w:t>
            </w:r>
          </w:p>
        </w:tc>
      </w:tr>
    </w:tbl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Управляющий делами администрации 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 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Ю.В.Петрич</w:t>
      </w:r>
    </w:p>
    <w:sectPr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ConsPlusNormal" w:customStyle="1">
    <w:name w:val="ConsPlusNormal Знак"/>
    <w:link w:val="ConsPlusNormal0"/>
    <w:qFormat/>
    <w:locked/>
    <w:rPr>
      <w:rFonts w:eastAsia="Times New Roman" w:cs="Calibri"/>
      <w:lang w:eastAsia="zh-CN"/>
    </w:rPr>
  </w:style>
  <w:style w:type="character" w:styleId="a4" w:customStyle="1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styleId="-" w:customStyle="1">
    <w:name w:val="Интернет-ссылка"/>
    <w:basedOn w:val="a0"/>
    <w:uiPriority w:val="99"/>
    <w:semiHidden/>
    <w:unhideWhenUsed/>
    <w:rPr>
      <w:color w:val="0000ff"/>
      <w:u w:val="single"/>
    </w:rPr>
  </w:style>
  <w:style w:type="paragraph" w:styleId="a6" w:customStyle="1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1" w:customStyle="1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10" w:customStyle="1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1" w:customStyle="1">
    <w:name w:val="Заголовок 31"/>
    <w:basedOn w:val="a"/>
    <w:next w:val="a7"/>
    <w:qFormat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ConsPlusNormal0" w:customStyle="1">
    <w:name w:val="ConsPlusNormal"/>
    <w:link w:val="ConsPlusNormal"/>
    <w:qFormat/>
    <w:pPr>
      <w:widowControl w:val="off"/>
      <w:spacing w:after="200" w:line="276" w:lineRule="auto"/>
    </w:pPr>
    <w:rPr>
      <w:rFonts w:eastAsia="Times New Roman" w:cs="Calibri"/>
      <w:lang w:eastAsia="zh-CN"/>
    </w:rPr>
  </w:style>
  <w:style w:type="paragraph" w:styleId="2" w:customStyle="1">
    <w:name w:val="Основной текст (2)"/>
    <w:basedOn w:val="a"/>
    <w:qFormat/>
    <w:pPr>
      <w:widowControl w:val="off"/>
      <w:shd w:val="clear" w:color="auto" w:fill="ffffff"/>
      <w:spacing w:before="420" w:after="0" w:line="480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ab" w:customStyle="1">
    <w:name w:val="Содержимое таблицы"/>
    <w:basedOn w:val="a"/>
    <w:qFormat/>
    <w:pPr>
      <w:widowControl w:val="off"/>
      <w:suppressLineNumbers/>
    </w:pPr>
  </w:style>
  <w:style w:type="paragraph" w:styleId="ac" w:customStyle="1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qFormat/>
    <w:pPr>
      <w:spacing w:beforeAutospacing="1" w:afterAutospacing="1" w:line="240" w:lineRule="auto"/>
      <w:ind w:right="-482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CD95-5C0B-434F-91E8-88DFF05F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11110</Characters>
  <CharactersWithSpaces>13032</CharactersWithSpaces>
  <Company>SPecialiST RePack</Company>
  <DocSecurity>0</DocSecurity>
  <HyperlinksChanged>false</HyperlinksChanged>
  <Lines>92</Lines>
  <LinksUpToDate>false</LinksUpToDate>
  <Pages>7</Pages>
  <Paragraphs>26</Paragraphs>
  <ScaleCrop>false</ScaleCrop>
  <SharedDoc>false</SharedDoc>
  <Template>Normal.dotm</Template>
  <TotalTime>5</TotalTime>
  <Words>1948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dc:language>ru-RU</dc:language>
  <cp:lastModifiedBy>Хорошилова</cp:lastModifiedBy>
  <cp:revision>5</cp:revision>
  <cp:lastPrinted>2023-11-20T12:11:00Z</cp:lastPrinted>
  <dcterms:created xsi:type="dcterms:W3CDTF">2023-11-20T12:12:00Z</dcterms:created>
  <dcterms:modified xsi:type="dcterms:W3CDTF">2023-11-20T12:16:00Z</dcterms:modified>
</cp:coreProperties>
</file>