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 О С Т А Н О В Л Е Н И Е</w:t>
      </w:r>
    </w:p>
    <w:p>
      <w:pPr>
        <w:numPr>
          <w:numId w:val="1"/>
          <w:ilvl w:val="0"/>
        </w:num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numPr>
          <w:numId w:val="1"/>
          <w:ilvl w:val="0"/>
        </w:num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АДМИНИСТРАЦИИ ПЕТРОВСКОГО ГОРОДСКОГО ОКРУГА</w:t>
      </w:r>
    </w:p>
    <w:p>
      <w:pPr>
        <w:numPr>
          <w:numId w:val="1"/>
          <w:ilvl w:val="0"/>
        </w:num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СТАВРОПОЛЬСКОГО КРАЯ</w:t>
      </w:r>
    </w:p>
    <w:p>
      <w:pPr>
        <w:numPr>
          <w:numId w:val="1"/>
          <w:ilvl w:val="0"/>
        </w:num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>
        <w:tc>
          <w:tcPr>
            <w:tcW w:w="3063" w:type="dxa"/>
          </w:tcPr>
          <w:p>
            <w:pPr>
              <w:widowControl w:val="off"/>
              <w:numPr>
                <w:numId w:val="1"/>
                <w:ilvl w:val="0"/>
              </w:numPr>
              <w:spacing w:after="0" w:line="240" w:lineRule="auto"/>
              <w:ind w:left="-10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20 ноября 2023 г.</w:t>
            </w:r>
          </w:p>
        </w:tc>
        <w:tc>
          <w:tcPr>
            <w:tcW w:w="3169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4" w:type="dxa"/>
          </w:tcPr>
          <w:p>
            <w:pPr>
              <w:widowControl w:val="off"/>
              <w:numPr>
                <w:numId w:val="1"/>
                <w:ilvl w:val="0"/>
              </w:num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№ 1903</w:t>
            </w:r>
          </w:p>
        </w:tc>
      </w:tr>
    </w:tbl>
    <w:p>
      <w:pPr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</w:p>
    <w:p>
      <w:pPr>
        <w:widowControl w:val="off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eastAsia="Calibri" w:cs="Times New Roman"/>
          <w:bCs/>
          <w:spacing w:val="4"/>
          <w:sz w:val="28"/>
          <w:szCs w:val="28"/>
        </w:rPr>
        <w:t xml:space="preserve">муниципального земельного контроля в границах</w:t>
      </w: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>
      <w:pPr>
        <w:widowControl w:val="off"/>
        <w:spacing w:after="0" w:line="240" w:lineRule="exact"/>
        <w:rPr>
          <w:rFonts w:ascii="Times New Roman" w:hAnsi="Times New Roman" w:eastAsia="Calibri" w:cs="Times New Roman"/>
          <w:bCs/>
          <w:i/>
          <w:sz w:val="28"/>
          <w:szCs w:val="20"/>
        </w:rPr>
      </w:pPr>
    </w:p>
    <w:p>
      <w:pPr>
        <w:widowControl w:val="off"/>
        <w:spacing w:after="0" w:line="240" w:lineRule="exact"/>
        <w:rPr>
          <w:rFonts w:ascii="Times New Roman" w:hAnsi="Times New Roman" w:eastAsia="Calibri" w:cs="Times New Roman"/>
          <w:bCs/>
          <w:i/>
          <w:sz w:val="28"/>
          <w:szCs w:val="20"/>
        </w:rPr>
      </w:pPr>
    </w:p>
    <w:p>
      <w:pPr>
        <w:spacing w:after="0" w:line="240" w:lineRule="auto"/>
        <w:ind w:firstLine="708"/>
        <w:jc w:val="both"/>
      </w:pP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>
      <w:pPr>
        <w:widowControl w:val="off"/>
        <w:spacing w:after="0" w:line="240" w:lineRule="exact"/>
        <w:ind w:firstLine="709"/>
        <w:jc w:val="both"/>
        <w:rPr>
          <w:rFonts w:ascii="Times New Roman" w:hAnsi="Times New Roman" w:eastAsia="Calibri" w:cs="Times New Roman"/>
          <w:spacing w:val="4"/>
          <w:sz w:val="28"/>
          <w:szCs w:val="28"/>
        </w:rPr>
      </w:pPr>
    </w:p>
    <w:p>
      <w:pPr>
        <w:widowControl w:val="off"/>
        <w:spacing w:after="0" w:line="240" w:lineRule="exact"/>
        <w:ind w:firstLine="709"/>
        <w:jc w:val="both"/>
        <w:rPr>
          <w:rFonts w:ascii="Times New Roman" w:hAnsi="Times New Roman" w:eastAsia="Calibri" w:cs="Times New Roman"/>
          <w:spacing w:val="4"/>
          <w:sz w:val="28"/>
          <w:szCs w:val="28"/>
        </w:rPr>
      </w:pPr>
    </w:p>
    <w:p>
      <w:pPr>
        <w:widowControl w:val="o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 w:eastAsia="Calibri" w:cs="Times New Roman"/>
          <w:bCs/>
          <w:spacing w:val="4"/>
          <w:sz w:val="28"/>
          <w:szCs w:val="28"/>
        </w:rPr>
        <w:t xml:space="preserve">муниципального земельного контроля в границах Петровского городского округа Ставропольского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aa"/>
        <w:spacing w:beforeAutospacing="0" w:after="0" w:afterAutospacing="0" w:line="284" w:lineRule="atLeast"/>
        <w:ind w:right="-2" w:firstLine="709"/>
        <w:rPr>
          <w:color w:val="auto"/>
        </w:rPr>
      </w:pPr>
    </w:p>
    <w:p>
      <w:pPr>
        <w:pStyle w:val="aa"/>
        <w:spacing w:beforeAutospacing="0" w:after="0" w:afterAutospacing="0" w:line="284" w:lineRule="atLeast"/>
        <w:ind w:right="-2" w:firstLine="709"/>
        <w:rPr>
          <w:color w:val="auto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 xml:space="preserve">Контроль за</w:t>
      </w:r>
      <w:r>
        <w:rPr>
          <w:color w:val="auto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r>
        <w:rPr>
          <w:color w:val="auto"/>
          <w:sz w:val="28"/>
          <w:szCs w:val="28"/>
        </w:rPr>
        <w:t xml:space="preserve">Бабыкина</w:t>
      </w:r>
      <w:r>
        <w:rPr>
          <w:color w:val="auto"/>
          <w:sz w:val="28"/>
          <w:szCs w:val="28"/>
        </w:rPr>
        <w:t xml:space="preserve"> А.И.</w:t>
      </w:r>
    </w:p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вступает в силу со дня его подписания.</w:t>
      </w:r>
    </w:p>
    <w:p>
      <w:pPr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Н.В.Конкина</w:t>
      </w:r>
    </w:p>
    <w:p>
      <w:pPr>
        <w:spacing w:after="0" w:line="240" w:lineRule="exact"/>
        <w:ind w:left="4820" w:firstLine="1559"/>
        <w:outlineLvl w:val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exact"/>
        <w:ind w:left="4820" w:firstLine="1559"/>
        <w:outlineLvl w:val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Проект постановления вносит первый заместитель главы администрации Петровского городского округа Ставропольского края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А.И.Бабыкин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Визируют:</w:t>
      </w:r>
    </w:p>
    <w:p>
      <w:pPr>
        <w:tabs>
          <w:tab w:val="left" w:pos="-1134"/>
          <w:tab w:val="left" w:pos="8505"/>
        </w:tabs>
        <w:spacing w:after="0" w:line="240" w:lineRule="exact"/>
        <w:ind w:right="1274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-1134"/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Начальника правового отдела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Петровского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городского   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О.А.Нехаенко</w:t>
      </w:r>
    </w:p>
    <w:p>
      <w:pPr>
        <w:spacing w:after="0" w:line="240" w:lineRule="exact"/>
        <w:ind w:right="1274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tabs>
          <w:tab w:val="left" w:pos="-1134"/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Начальник отдела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организационно –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кадровым вопросам и профилактике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коррупционных правонарушений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администрации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Петровского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городского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С.Н.Кулькина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Управляющий делами администрации </w:t>
      </w: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Петровского городского округа 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  <w:t xml:space="preserve">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Ю.В.Петрич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Проект постановления подготовлен отделом жилищного учета, строительства и муниципального контроля администрации Петровского городского округа Ставропольского края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И.С.Куницын</w:t>
      </w:r>
    </w:p>
    <w:p>
      <w:pPr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Утверждена</w:t>
      </w:r>
    </w:p>
    <w:p>
      <w:pPr>
        <w:spacing w:after="0" w:line="240" w:lineRule="exact"/>
        <w:ind w:firstLine="510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администрации</w:t>
      </w:r>
    </w:p>
    <w:p>
      <w:pPr>
        <w:spacing w:after="0" w:line="240" w:lineRule="exact"/>
        <w:ind w:firstLine="510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городского округа</w:t>
      </w:r>
    </w:p>
    <w:p>
      <w:pPr>
        <w:spacing w:after="0" w:line="240" w:lineRule="exact"/>
        <w:ind w:firstLine="5103"/>
        <w:jc w:val="center"/>
        <w:rPr>
          <w:rFonts w:ascii="Times New Roman" w:hAnsi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Ставропольского края</w:t>
      </w:r>
    </w:p>
    <w:p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от 20 ноября 2023 г. № 1903</w:t>
      </w:r>
    </w:p>
    <w:p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>
      <w:pPr>
        <w:spacing w:after="0" w:line="240" w:lineRule="exact"/>
        <w:jc w:val="center"/>
        <w:rPr>
          <w:rFonts w:ascii="Times New Roman" w:hAnsi="Times New Roman" w:eastAsia="Calibri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 w:eastAsia="Calibri" w:cs="Times New Roman"/>
          <w:bCs/>
          <w:spacing w:val="4"/>
          <w:sz w:val="28"/>
          <w:szCs w:val="28"/>
        </w:rPr>
        <w:t xml:space="preserve">муниципального земельного контроля</w:t>
      </w:r>
    </w:p>
    <w:p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pacing w:val="4"/>
          <w:sz w:val="28"/>
          <w:szCs w:val="28"/>
        </w:rPr>
        <w:t xml:space="preserve">в границах Петровского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2024 год</w:t>
      </w: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в границах Петровского городского округа Ставропольского края муниципального земельного контроля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далее – муниципальный земельный контроль).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Петровского городского округа Ставропольского края, Положением об администрации Петровского городского округа Ставропольского края, утвержденным решением Совета депутатов Петровского городского округа Ставропольского края от 08 декабря 2017 г. №57 (с изменениями), администрация Петровского городского округа Ставропольского края (далее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округа</w:t>
      </w:r>
      <w:r>
        <w:rPr>
          <w:rFonts w:ascii="Times New Roman" w:hAnsi="Times New Roman" w:cs="Times New Roman"/>
          <w:sz w:val="28"/>
          <w:szCs w:val="28"/>
        </w:rPr>
        <w:t xml:space="preserve">) является уполномоченным органом по осуществлению муниципального земельного контроля.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При осуществлении муниципального земельного контроля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8"/>
          <w:szCs w:val="28"/>
        </w:rPr>
        <w:t xml:space="preserve">4.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>
        <w:rPr>
          <w:rFonts w:ascii="Times New Roman" w:hAnsi="Times New Roman" w:cs="Times New Roman"/>
          <w:sz w:val="28"/>
          <w:szCs w:val="28"/>
        </w:rPr>
        <w:t xml:space="preserve">использующие земельные участки в границах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городского округа Ставропольского края, а так же обладающие правом владения, пользования,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землями, земельными участками, частью земельного участка в границах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требований,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установленных муниципальными правовыми актами, </w:t>
      </w:r>
      <w:r>
        <w:rPr>
          <w:rFonts w:ascii="Times New Roman" w:hAnsi="Times New Roman" w:cs="Times New Roman"/>
          <w:sz w:val="28"/>
          <w:szCs w:val="28"/>
        </w:rPr>
        <w:t xml:space="preserve">оценка соблюдения которых является предметом муниципального земельного контроля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Штатная численность должностных лиц Администрация округа, уполномоченных осуществлять муниципальный земельный контроль, в 2022 года составляла 3 человека.</w:t>
      </w:r>
    </w:p>
    <w:p>
      <w:pPr>
        <w:pStyle w:val="a7"/>
        <w:spacing w:line="240" w:lineRule="auto"/>
        <w:ind w:left="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рамках развития и осуществления профилактической деятельности в границах Петровского городского округа Ставропольского края в 2022 году:</w:t>
      </w:r>
    </w:p>
    <w:p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поддерживались в актуальном состоянии и размещались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округа в информационно-телекоммуникационной сети «Интернет» (далее - официальный сайт Администрации округа) </w:t>
      </w:r>
      <w:r>
        <w:rPr>
          <w:rFonts w:ascii="Times New Roman" w:hAnsi="Times New Roman"/>
          <w:sz w:val="28"/>
          <w:szCs w:val="28"/>
        </w:rPr>
        <w:t xml:space="preserve">тексты нормативных правовых актов, регулирующих осуществление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поддерживался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лся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округа </w:t>
      </w: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размещался на официальном сайте Администрации округа </w:t>
      </w: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порядок отнесения объектов контроля к категориям риска; </w:t>
      </w:r>
    </w:p>
    <w:p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размещалась на официальном сайте Администрации округа информация о результатах осуществления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муниципального земельного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контроля;</w:t>
      </w:r>
    </w:p>
    <w:p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>
      <w:pPr>
        <w:pStyle w:val="ConsPlusNormal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>
        <w:rPr>
          <w:rFonts w:ascii="Times New Roman" w:hAnsi="Times New Roman"/>
          <w:sz w:val="28"/>
          <w:szCs w:val="28"/>
        </w:rPr>
        <w:t xml:space="preserve">профилактические визиты;</w:t>
      </w:r>
    </w:p>
    <w:p>
      <w:pPr>
        <w:pStyle w:val="ConsPlusNormal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объявлялись </w:t>
      </w:r>
      <w:r>
        <w:rPr>
          <w:rFonts w:ascii="Times New Roman" w:hAnsi="Times New Roman"/>
          <w:sz w:val="28"/>
          <w:szCs w:val="28"/>
        </w:rPr>
        <w:t xml:space="preserve">предостережения о недопустимости нарушения обязательных требований.</w:t>
      </w:r>
    </w:p>
    <w:p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результатам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осуществления муниципального земельного контроля в 2022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>
      <w:pPr>
        <w:pStyle w:val="2"/>
        <w:shd w:val="clear" w:color="auto" w:fill="ffffff" w:themeFill="background1"/>
        <w:spacing w:before="0" w:line="240" w:lineRule="auto"/>
        <w:ind w:right="-1" w:firstLine="709"/>
      </w:pPr>
      <w:r>
        <w:rPr>
          <w:lang w:eastAsia="ru-RU" w:bidi="ru-RU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>
      <w:pPr>
        <w:pStyle w:val="2"/>
        <w:shd w:val="clear" w:color="auto" w:fill="ffffff" w:themeFill="background1"/>
        <w:spacing w:before="0" w:line="240" w:lineRule="auto"/>
        <w:ind w:right="-1" w:firstLine="709"/>
      </w:pPr>
      <w:r>
        <w:rPr>
          <w:lang w:eastAsia="ru-RU" w:bidi="ru-RU"/>
        </w:rPr>
        <w:t xml:space="preserve"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отсутствия денежных средств на строительство на земельных участках, предназначенных для жилищного или иного строительства.</w:t>
      </w:r>
    </w:p>
    <w:p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Раздел II. Цели и задачи реализации программы профилактики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Основными целями программы профилактики являются:</w:t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Проведение профилактических мероприятий программы профилактики направлено на решение следующих задач: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Укрепление </w:t>
      </w:r>
      <w:r>
        <w:rPr>
          <w:rFonts w:ascii="Times New Roman" w:hAnsi="Times New Roman" w:cs="Times New Roman"/>
          <w:sz w:val="28"/>
          <w:szCs w:val="28"/>
        </w:rPr>
        <w:t xml:space="preserve">системы профилактики нарушений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Повышение правосознания и правовой культуры руководителей  юридических лиц, индивидуальных предпринимателей и граждан;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>
      <w:pPr>
        <w:spacing w:after="0" w:line="240" w:lineRule="exact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III. Перечень профилактических мероприятий, сроки (периодичность) их проведения</w:t>
      </w:r>
    </w:p>
    <w:p>
      <w:pPr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410"/>
        <w:gridCol w:w="3543"/>
      </w:tblGrid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дминистрации округа, ответственный за реализацию</w:t>
            </w:r>
          </w:p>
        </w:tc>
      </w:tr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</w:t>
            </w:r>
          </w:p>
          <w:p>
            <w:pPr>
              <w:pStyle w:val="ConsPlusNormal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</w:t>
            </w:r>
          </w:p>
        </w:tc>
        <w:tc>
          <w:tcPr>
            <w:tcW w:w="28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</w:t>
            </w:r>
          </w:p>
        </w:tc>
        <w:tc>
          <w:tcPr>
            <w:tcW w:w="2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</w:t>
            </w:r>
          </w:p>
        </w:tc>
        <w:tc>
          <w:tcPr>
            <w:tcW w:w="28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</w:t>
            </w:r>
          </w:p>
        </w:tc>
        <w:tc>
          <w:tcPr>
            <w:tcW w:w="2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- IV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квартал</w:t>
            </w:r>
          </w:p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года</w:t>
            </w:r>
          </w:p>
        </w:tc>
        <w:tc>
          <w:tcPr>
            <w:tcW w:w="3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</w:tbl>
    <w:p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Консультирование контролируемых лиц осуществляется должностным лицом, уполномоченным осуществлять муниципальный земельный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Консультирование осуществляется в устной или письменной форме по следующим вопросам: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и осуществление муниципального земельного контроля;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муниципальном земельном контроле в границах Петровского городского округа Ставропольского края,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Петровского городского округа Ставропольского края от 25.08.2021 №89 (с изменениями);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лиц, уполномоченных осуществлять муниципальный земельный контроль;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о представлении письменного ответа по вопросам консультирования;</w:t>
      </w:r>
    </w:p>
    <w:p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время консультирования предоставить ответ на поставленные вопросы невозможно;</w:t>
      </w:r>
    </w:p>
    <w:p>
      <w:pPr>
        <w:pStyle w:val="ConsPlusNormal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ответ на поставленные вопросы требует дополнительного запроса сведений.</w:t>
      </w:r>
    </w:p>
    <w:p>
      <w:pPr>
        <w:pStyle w:val="ConsPlusNormal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IV. Показатели результативности и эффективности программы профилактики</w:t>
      </w: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</w:t>
            </w:r>
          </w:p>
        </w:tc>
      </w:tr>
      <w:t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</w:t>
            </w:r>
          </w:p>
        </w:tc>
      </w:tr>
      <w:t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обратившихся</w:t>
            </w:r>
          </w:p>
        </w:tc>
      </w:tr>
    </w:tbl>
    <w:p>
      <w:pPr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Управляющий делами администрации </w:t>
      </w: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городского округа </w:t>
      </w: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Ю.В.Петрич</w:t>
      </w:r>
    </w:p>
    <w:sectPr>
      <w:pgSz w:w="11906" w:h="16838"/>
      <w:pgMar w:top="1418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rPr>
      <w:color w:val="000080"/>
      <w:u w:val="single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1" w:customStyle="1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10" w:customStyle="1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1" w:customStyle="1">
    <w:name w:val="Заголовок 31"/>
    <w:basedOn w:val="a"/>
    <w:next w:val="a4"/>
    <w:qFormat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ConsPlusNormal" w:customStyle="1">
    <w:name w:val="ConsPlusNormal"/>
    <w:qFormat/>
    <w:pPr>
      <w:widowControl w:val="off"/>
      <w:spacing w:after="200" w:line="276" w:lineRule="auto"/>
    </w:pPr>
    <w:rPr>
      <w:rFonts w:eastAsia="Times New Roman" w:cs="Calibri"/>
      <w:lang w:eastAsia="zh-CN"/>
    </w:rPr>
  </w:style>
  <w:style w:type="paragraph" w:styleId="2" w:customStyle="1">
    <w:name w:val="Основной текст (2)"/>
    <w:basedOn w:val="a"/>
    <w:qFormat/>
    <w:pPr>
      <w:widowControl w:val="off"/>
      <w:shd w:val="clear" w:color="auto" w:fill="ffffff"/>
      <w:spacing w:before="420" w:after="0" w:line="480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a8" w:customStyle="1">
    <w:name w:val="Содержимое таблицы"/>
    <w:basedOn w:val="a"/>
    <w:qFormat/>
    <w:pPr>
      <w:widowControl w:val="off"/>
      <w:suppressLineNumbers/>
    </w:pPr>
  </w:style>
  <w:style w:type="paragraph" w:styleId="a9" w:customStyle="1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  <w:ind w:right="-482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a"/>
    <w:qFormat/>
    <w:pPr>
      <w:spacing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0C3B-7954-48FC-9948-27BBD0D8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11742</Characters>
  <CharactersWithSpaces>13774</CharactersWithSpaces>
  <Company>SPecialiST RePack</Company>
  <DocSecurity>0</DocSecurity>
  <HyperlinksChanged>false</HyperlinksChanged>
  <Lines>97</Lines>
  <LinksUpToDate>false</LinksUpToDate>
  <Pages>7</Pages>
  <Paragraphs>27</Paragraphs>
  <ScaleCrop>false</ScaleCrop>
  <SharedDoc>false</SharedDoc>
  <Template>Normal.dotm</Template>
  <TotalTime>1</TotalTime>
  <Words>2059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dc:language>ru-RU</dc:language>
  <cp:lastModifiedBy>Хорошилова</cp:lastModifiedBy>
  <cp:revision>2</cp:revision>
  <cp:lastPrinted>2023-11-20T12:08:00Z</cp:lastPrinted>
  <dcterms:created xsi:type="dcterms:W3CDTF">2023-11-20T12:09:00Z</dcterms:created>
  <dcterms:modified xsi:type="dcterms:W3CDTF">2023-11-20T12:09:00Z</dcterms:modified>
</cp:coreProperties>
</file>