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41EE" w14:textId="77777777" w:rsidR="0044268C" w:rsidRDefault="00000000" w:rsidP="00F1375A">
      <w:pPr>
        <w:spacing w:after="0" w:line="240" w:lineRule="exact"/>
        <w:jc w:val="center"/>
        <w:rPr>
          <w:rFonts w:ascii="Times New Roman" w:hAnsi="Times New Roman"/>
          <w:sz w:val="28"/>
          <w:szCs w:val="28"/>
        </w:rPr>
      </w:pPr>
      <w:r>
        <w:rPr>
          <w:rFonts w:ascii="Times New Roman" w:hAnsi="Times New Roman"/>
          <w:color w:val="000000"/>
          <w:sz w:val="28"/>
          <w:szCs w:val="28"/>
        </w:rPr>
        <w:t xml:space="preserve">ИНФОРМАЦИЯ </w:t>
      </w:r>
    </w:p>
    <w:p w14:paraId="3154251F" w14:textId="77777777" w:rsidR="0044268C" w:rsidRDefault="00000000" w:rsidP="00F1375A">
      <w:pPr>
        <w:spacing w:after="0" w:line="240" w:lineRule="exact"/>
        <w:jc w:val="center"/>
        <w:rPr>
          <w:rFonts w:ascii="Times New Roman" w:hAnsi="Times New Roman"/>
          <w:sz w:val="28"/>
          <w:szCs w:val="28"/>
        </w:rPr>
      </w:pPr>
      <w:r>
        <w:rPr>
          <w:rFonts w:ascii="Times New Roman" w:hAnsi="Times New Roman"/>
          <w:color w:val="000000"/>
          <w:sz w:val="28"/>
          <w:szCs w:val="28"/>
        </w:rPr>
        <w:t>о социально-экономическом развитии Петровского городского округа Ставропольского края за 9 месяцев 2022 года</w:t>
      </w:r>
    </w:p>
    <w:p w14:paraId="0420F234" w14:textId="77777777" w:rsidR="0044268C" w:rsidRDefault="0044268C">
      <w:pPr>
        <w:spacing w:after="0" w:line="240" w:lineRule="auto"/>
        <w:jc w:val="center"/>
        <w:rPr>
          <w:rFonts w:ascii="Times New Roman" w:eastAsia="Lucida Sans Unicode" w:hAnsi="Times New Roman" w:cs="Tahoma"/>
          <w:bCs/>
          <w:color w:val="000000"/>
          <w:sz w:val="28"/>
          <w:szCs w:val="28"/>
          <w:shd w:val="clear" w:color="auto" w:fill="FFFF00"/>
        </w:rPr>
      </w:pPr>
    </w:p>
    <w:p w14:paraId="7EF8637E" w14:textId="77777777" w:rsidR="0044268C" w:rsidRDefault="00000000">
      <w:pPr>
        <w:spacing w:after="0" w:line="240" w:lineRule="auto"/>
        <w:ind w:firstLine="680"/>
        <w:jc w:val="both"/>
        <w:rPr>
          <w:rFonts w:ascii="Times New Roman" w:hAnsi="Times New Roman"/>
          <w:sz w:val="28"/>
          <w:szCs w:val="28"/>
        </w:rPr>
      </w:pPr>
      <w:r>
        <w:rPr>
          <w:rFonts w:ascii="Times New Roman" w:eastAsia="Lucida Sans Unicode" w:hAnsi="Times New Roman" w:cs="Tahoma"/>
          <w:bCs/>
          <w:color w:val="000000"/>
          <w:sz w:val="28"/>
          <w:szCs w:val="28"/>
        </w:rPr>
        <w:t>По статистическим данным оборот крупных и средних предприятий, отражающий их коммерческую деятельность, за январь – сентябрь 2022 года достиг 22988,9 млн. рублей, что в 1,2 раза превышает показатель аналогичного периода 2021 года, н</w:t>
      </w:r>
      <w:r>
        <w:rPr>
          <w:rFonts w:ascii="Times New Roman" w:eastAsia="Lucida Sans Unicode" w:hAnsi="Times New Roman" w:cs="Times New Roman"/>
          <w:bCs/>
          <w:color w:val="000000"/>
          <w:sz w:val="28"/>
          <w:szCs w:val="28"/>
        </w:rPr>
        <w:t xml:space="preserve">а долю промышленности и сельского хозяйства приходится около 47,9% оборота. </w:t>
      </w:r>
    </w:p>
    <w:p w14:paraId="1A0DD83B" w14:textId="77777777" w:rsidR="0044268C" w:rsidRDefault="00000000">
      <w:pPr>
        <w:spacing w:after="0" w:line="240" w:lineRule="auto"/>
        <w:ind w:firstLine="709"/>
        <w:jc w:val="both"/>
        <w:rPr>
          <w:rFonts w:ascii="Times New Roman" w:hAnsi="Times New Roman"/>
          <w:sz w:val="28"/>
          <w:szCs w:val="28"/>
        </w:rPr>
      </w:pPr>
      <w:r>
        <w:rPr>
          <w:rFonts w:ascii="Times New Roman" w:eastAsia="Lucida Sans Unicode" w:hAnsi="Times New Roman" w:cs="Tahoma"/>
          <w:color w:val="000000"/>
          <w:sz w:val="28"/>
          <w:szCs w:val="28"/>
        </w:rPr>
        <w:t>Объем отгруженных товаров собственного производства, выполненных работ и услуг собственными силами крупных и средних предприятий (далее – товаров собственного производства) в отчетном периоде составил 11584,4 млн. рублей, что в 1,5 раза превышает</w:t>
      </w:r>
      <w:bookmarkStart w:id="0" w:name="_Hlk519663658"/>
      <w:r>
        <w:rPr>
          <w:rFonts w:ascii="Times New Roman" w:eastAsia="Lucida Sans Unicode" w:hAnsi="Times New Roman" w:cs="Tahoma"/>
          <w:color w:val="000000"/>
          <w:sz w:val="28"/>
          <w:szCs w:val="28"/>
        </w:rPr>
        <w:t xml:space="preserve"> показатель за январь - сентябрь 2021 года</w:t>
      </w:r>
      <w:bookmarkEnd w:id="0"/>
      <w:r>
        <w:rPr>
          <w:rFonts w:ascii="Times New Roman" w:eastAsia="Lucida Sans Unicode" w:hAnsi="Times New Roman" w:cs="Tahoma"/>
          <w:color w:val="000000"/>
          <w:sz w:val="28"/>
          <w:szCs w:val="28"/>
        </w:rPr>
        <w:t>.</w:t>
      </w:r>
    </w:p>
    <w:p w14:paraId="202D01DD" w14:textId="6DB1C0FF" w:rsidR="0044268C" w:rsidRDefault="00000000">
      <w:pPr>
        <w:spacing w:after="0" w:line="240" w:lineRule="auto"/>
        <w:ind w:firstLine="709"/>
        <w:jc w:val="both"/>
        <w:rPr>
          <w:shd w:val="clear" w:color="auto" w:fill="FFFF00"/>
        </w:rPr>
      </w:pPr>
      <w:r>
        <w:rPr>
          <w:rFonts w:ascii="Times New Roman" w:eastAsia="Lucida Sans Unicode" w:hAnsi="Times New Roman" w:cs="Tahoma"/>
          <w:b/>
          <w:bCs/>
          <w:color w:val="000000"/>
          <w:sz w:val="28"/>
          <w:szCs w:val="28"/>
        </w:rPr>
        <w:t>По промышленным видам</w:t>
      </w:r>
      <w:r>
        <w:rPr>
          <w:rFonts w:ascii="Times New Roman" w:eastAsia="Lucida Sans Unicode" w:hAnsi="Times New Roman" w:cs="Tahoma"/>
          <w:color w:val="000000"/>
          <w:sz w:val="28"/>
          <w:szCs w:val="28"/>
        </w:rPr>
        <w:t xml:space="preserve"> экономической деятельности данный показатель увеличился до 8445,3 млн. рублей или в 1,8 раза (в среднем по краю 114,1%). На долю обрабатывающих производств в объеме отгруженных товаров собственного производства промышленных предприятий приходится 68,8% (за 9 месяцев 2021 года — 47,9%). Объем продукции, отгруженной обрабатывающими предприятиями, за январь — сентябрь 2022 года достиг 5812,7 млн. рублей, </w:t>
      </w:r>
      <w:r>
        <w:rPr>
          <w:rFonts w:ascii="Times New Roman" w:eastAsia="Lucida Sans Unicode" w:hAnsi="Times New Roman" w:cs="Tahoma"/>
          <w:bCs/>
          <w:color w:val="000000"/>
          <w:sz w:val="28"/>
          <w:szCs w:val="28"/>
        </w:rPr>
        <w:t>что в 2,6 раза превышает показатель аналогичного периода 2021 года (в среднем по краю 115,8%)</w:t>
      </w:r>
      <w:r>
        <w:rPr>
          <w:rFonts w:ascii="Times New Roman" w:eastAsia="Lucida Sans Unicode" w:hAnsi="Times New Roman" w:cs="Tahoma"/>
          <w:color w:val="000000"/>
          <w:sz w:val="28"/>
          <w:szCs w:val="28"/>
        </w:rPr>
        <w:t xml:space="preserve">. Существенный рост показателя обусловлен увеличением </w:t>
      </w:r>
      <w:r w:rsidR="00E21151">
        <w:rPr>
          <w:rFonts w:ascii="Times New Roman" w:eastAsia="Lucida Sans Unicode" w:hAnsi="Times New Roman" w:cs="Tahoma"/>
          <w:color w:val="000000"/>
          <w:sz w:val="28"/>
          <w:szCs w:val="28"/>
        </w:rPr>
        <w:t xml:space="preserve">объемов </w:t>
      </w:r>
      <w:r>
        <w:rPr>
          <w:rFonts w:ascii="Times New Roman" w:eastAsia="Lucida Sans Unicode" w:hAnsi="Times New Roman" w:cs="Tahoma"/>
          <w:color w:val="000000"/>
          <w:sz w:val="28"/>
          <w:szCs w:val="28"/>
        </w:rPr>
        <w:t xml:space="preserve">производства ООО «Светлоградский маслоэкстракционный завод». </w:t>
      </w:r>
    </w:p>
    <w:p w14:paraId="79AD3820" w14:textId="7288DFBB" w:rsidR="0044268C" w:rsidRDefault="00000000">
      <w:pPr>
        <w:spacing w:after="0" w:line="240" w:lineRule="auto"/>
        <w:ind w:firstLine="709"/>
        <w:jc w:val="both"/>
      </w:pPr>
      <w:r>
        <w:rPr>
          <w:rFonts w:ascii="Times New Roman" w:eastAsia="Lucida Sans Unicode" w:hAnsi="Times New Roman" w:cs="Tahoma"/>
          <w:b/>
          <w:bCs/>
          <w:color w:val="000000"/>
          <w:sz w:val="28"/>
          <w:szCs w:val="28"/>
        </w:rPr>
        <w:t>Сельскохозяйственными предприятиями</w:t>
      </w:r>
      <w:r>
        <w:rPr>
          <w:rFonts w:ascii="Times New Roman" w:eastAsia="Lucida Sans Unicode" w:hAnsi="Times New Roman" w:cs="Tahoma"/>
          <w:color w:val="000000"/>
          <w:sz w:val="28"/>
          <w:szCs w:val="28"/>
        </w:rPr>
        <w:t xml:space="preserve"> за 9 месяцев 2022 года отгружено </w:t>
      </w:r>
      <w:r w:rsidR="00E21151">
        <w:rPr>
          <w:rFonts w:ascii="Times New Roman" w:eastAsia="Lucida Sans Unicode" w:hAnsi="Times New Roman" w:cs="Tahoma"/>
          <w:color w:val="000000"/>
          <w:sz w:val="28"/>
          <w:szCs w:val="28"/>
        </w:rPr>
        <w:t xml:space="preserve">продукции </w:t>
      </w:r>
      <w:r>
        <w:rPr>
          <w:rFonts w:ascii="Times New Roman" w:eastAsia="Lucida Sans Unicode" w:hAnsi="Times New Roman" w:cs="Tahoma"/>
          <w:color w:val="000000"/>
          <w:sz w:val="28"/>
          <w:szCs w:val="28"/>
        </w:rPr>
        <w:t>собственного производства на сумму 1425,8 млн. рублей.</w:t>
      </w:r>
    </w:p>
    <w:p w14:paraId="054F105A" w14:textId="5BB9E1B6" w:rsidR="0044268C" w:rsidRDefault="00000000">
      <w:pPr>
        <w:spacing w:after="0" w:line="240" w:lineRule="auto"/>
        <w:ind w:firstLine="708"/>
        <w:jc w:val="both"/>
        <w:rPr>
          <w:shd w:val="clear" w:color="auto" w:fill="FFFF00"/>
        </w:rPr>
      </w:pPr>
      <w:r>
        <w:rPr>
          <w:rFonts w:ascii="Times New Roman" w:hAnsi="Times New Roman" w:cs="Times New Roman"/>
          <w:color w:val="000000"/>
          <w:sz w:val="28"/>
          <w:szCs w:val="28"/>
        </w:rPr>
        <w:t xml:space="preserve">По оперативным данным в отчетном году собрано 420,0 тыс. тонн зерновых и зернобобовых культур </w:t>
      </w:r>
      <w:r>
        <w:rPr>
          <w:rFonts w:ascii="Times New Roman" w:eastAsia="Times New Roman" w:hAnsi="Times New Roman" w:cs="Times New Roman"/>
          <w:color w:val="000000"/>
          <w:sz w:val="28"/>
          <w:szCs w:val="28"/>
        </w:rPr>
        <w:t>(включая кукурузу на зерно)</w:t>
      </w:r>
      <w:r>
        <w:rPr>
          <w:rFonts w:ascii="Times New Roman" w:hAnsi="Times New Roman" w:cs="Times New Roman"/>
          <w:color w:val="000000"/>
          <w:sz w:val="28"/>
          <w:szCs w:val="28"/>
        </w:rPr>
        <w:t xml:space="preserve"> при средней урожайности 35,5 ц/га (в 2021 году </w:t>
      </w:r>
      <w:r w:rsidR="00C35B72">
        <w:rPr>
          <w:rFonts w:ascii="Times New Roman" w:hAnsi="Times New Roman" w:cs="Times New Roman"/>
          <w:color w:val="000000"/>
          <w:sz w:val="28"/>
          <w:szCs w:val="28"/>
        </w:rPr>
        <w:t>474,8</w:t>
      </w:r>
      <w:r>
        <w:rPr>
          <w:rFonts w:ascii="Times New Roman" w:hAnsi="Times New Roman" w:cs="Times New Roman"/>
          <w:color w:val="000000"/>
          <w:sz w:val="28"/>
          <w:szCs w:val="28"/>
        </w:rPr>
        <w:t xml:space="preserve"> тыс. тонн</w:t>
      </w:r>
      <w:r w:rsidR="006C30DA">
        <w:rPr>
          <w:rFonts w:ascii="Times New Roman" w:hAnsi="Times New Roman" w:cs="Times New Roman"/>
          <w:color w:val="000000"/>
          <w:sz w:val="28"/>
          <w:szCs w:val="28"/>
        </w:rPr>
        <w:t xml:space="preserve"> (в</w:t>
      </w:r>
      <w:r w:rsidR="004F4138">
        <w:rPr>
          <w:rFonts w:ascii="Times New Roman" w:hAnsi="Times New Roman" w:cs="Times New Roman"/>
          <w:color w:val="000000"/>
          <w:sz w:val="28"/>
          <w:szCs w:val="28"/>
        </w:rPr>
        <w:t xml:space="preserve"> весе после доработки</w:t>
      </w:r>
      <w:r w:rsidR="004F4138" w:rsidRPr="004F413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при средней урожайности </w:t>
      </w:r>
      <w:r w:rsidR="00C35B72">
        <w:rPr>
          <w:rFonts w:ascii="Times New Roman" w:hAnsi="Times New Roman" w:cs="Times New Roman"/>
          <w:color w:val="000000"/>
          <w:sz w:val="28"/>
          <w:szCs w:val="28"/>
        </w:rPr>
        <w:t>37,3</w:t>
      </w:r>
      <w:r>
        <w:rPr>
          <w:rFonts w:ascii="Times New Roman" w:hAnsi="Times New Roman" w:cs="Times New Roman"/>
          <w:color w:val="000000"/>
          <w:sz w:val="28"/>
          <w:szCs w:val="28"/>
        </w:rPr>
        <w:t xml:space="preserve"> ц/га), масличных культур собрано 46,8 тыс. тонн при средней урожайности 13,1 ц/га (в 2021 году — 46,4 тыс. тонн и 15,2 ц/га соответственно).</w:t>
      </w:r>
    </w:p>
    <w:p w14:paraId="4532EF63" w14:textId="77777777" w:rsidR="0044268C" w:rsidRDefault="00000000">
      <w:pPr>
        <w:spacing w:after="0" w:line="240" w:lineRule="auto"/>
        <w:ind w:firstLine="709"/>
        <w:jc w:val="both"/>
      </w:pPr>
      <w:r>
        <w:rPr>
          <w:rFonts w:ascii="Times New Roman" w:hAnsi="Times New Roman" w:cs="Times New Roman"/>
          <w:color w:val="000000"/>
          <w:sz w:val="28"/>
          <w:szCs w:val="28"/>
        </w:rPr>
        <w:t>По оценке в хозяйствах всех категорий на 01 октября 2022 года содержалось: крупного рогатого скота 10,7 тыс. голов, в том числе 5,1 тыс. голов коров дойного стада, свиней 9,8 тыс. голов, овец 16,2 тыс. голов, около 1,6 млн. голов птицы. Произведено (выращено) мяса скота и птицы 20,7 тыс. тонн или 94,0% к показателю аналогичного периода прошлого года. Производство молока в хозяйствах всех категорий составляет 19,6 тыс. тонн. Удой на 1 корову дойного стада в сельскохозяйственных организациях сократился на 13,7% и составил 5150 килограммов</w:t>
      </w:r>
      <w:r>
        <w:rPr>
          <w:rFonts w:ascii="Times New Roman" w:eastAsia="Times New Roman" w:hAnsi="Times New Roman" w:cs="Times New Roman"/>
          <w:color w:val="000000"/>
          <w:sz w:val="28"/>
          <w:szCs w:val="28"/>
        </w:rPr>
        <w:t>.</w:t>
      </w:r>
    </w:p>
    <w:p w14:paraId="4E1686A0" w14:textId="77777777" w:rsidR="0044268C" w:rsidRDefault="00000000">
      <w:pPr>
        <w:spacing w:after="0" w:line="240" w:lineRule="auto"/>
        <w:ind w:firstLine="708"/>
        <w:jc w:val="both"/>
        <w:rPr>
          <w:shd w:val="clear" w:color="auto" w:fill="FFFF00"/>
        </w:rPr>
      </w:pPr>
      <w:r>
        <w:rPr>
          <w:rFonts w:ascii="Times New Roman" w:eastAsia="Times New Roman" w:hAnsi="Times New Roman" w:cs="Times New Roman"/>
          <w:color w:val="000000"/>
          <w:sz w:val="28"/>
          <w:szCs w:val="28"/>
        </w:rPr>
        <w:t xml:space="preserve">По виду экономической деятельности </w:t>
      </w:r>
      <w:r>
        <w:rPr>
          <w:rFonts w:ascii="Times New Roman" w:eastAsia="Times New Roman" w:hAnsi="Times New Roman" w:cs="Times New Roman"/>
          <w:b/>
          <w:color w:val="000000"/>
          <w:sz w:val="28"/>
          <w:szCs w:val="28"/>
        </w:rPr>
        <w:t>«строительство»</w:t>
      </w:r>
      <w:r>
        <w:rPr>
          <w:rFonts w:ascii="Times New Roman" w:eastAsia="Times New Roman" w:hAnsi="Times New Roman" w:cs="Times New Roman"/>
          <w:color w:val="000000"/>
          <w:sz w:val="28"/>
          <w:szCs w:val="28"/>
        </w:rPr>
        <w:t xml:space="preserve"> в отчетном периоде выполнено работ на сумму 853,4 млн. рублей (в аналогичном периоде 2021 года — 84,5 млн. рублей). Рост показателя произошел за счет строительства на территории округа Берестовской ВЭС мощностью 60 МВт и системы орошения площадью 2500 га на земельном участке 5000 га для ООО </w:t>
      </w:r>
      <w:r>
        <w:rPr>
          <w:rFonts w:ascii="Times New Roman" w:eastAsia="Times New Roman" w:hAnsi="Times New Roman" w:cs="Times New Roman"/>
          <w:color w:val="000000"/>
          <w:sz w:val="28"/>
          <w:szCs w:val="28"/>
        </w:rPr>
        <w:lastRenderedPageBreak/>
        <w:t xml:space="preserve">«Иррико-Холдинг». </w:t>
      </w:r>
      <w:r>
        <w:rPr>
          <w:rFonts w:ascii="Times New Roman" w:eastAsia="Lucida Sans Unicode" w:hAnsi="Times New Roman" w:cs="Times New Roman"/>
          <w:color w:val="000000"/>
          <w:sz w:val="28"/>
          <w:szCs w:val="28"/>
        </w:rPr>
        <w:t xml:space="preserve">За январь - сентябрь 2022 года индивидуальными застройщиками введены в эксплуатацию 7039 кв. м. жилых площадей, темп роста к показателю аналогичного периода 2021 года 104,3%. </w:t>
      </w:r>
    </w:p>
    <w:p w14:paraId="513783E9" w14:textId="74009947" w:rsidR="0044268C" w:rsidRDefault="00000000">
      <w:pPr>
        <w:spacing w:after="0" w:line="240" w:lineRule="auto"/>
        <w:ind w:firstLine="708"/>
        <w:jc w:val="both"/>
        <w:rPr>
          <w:shd w:val="clear" w:color="auto" w:fill="FFFF00"/>
        </w:rPr>
      </w:pPr>
      <w:r>
        <w:rPr>
          <w:rFonts w:ascii="Times New Roman" w:hAnsi="Times New Roman" w:cs="Times New Roman"/>
          <w:color w:val="000000"/>
          <w:sz w:val="28"/>
          <w:szCs w:val="28"/>
        </w:rPr>
        <w:t xml:space="preserve">По данным мониторинга </w:t>
      </w:r>
      <w:r>
        <w:rPr>
          <w:rFonts w:ascii="Times New Roman" w:hAnsi="Times New Roman" w:cs="Times New Roman"/>
          <w:b/>
          <w:color w:val="000000"/>
          <w:sz w:val="28"/>
          <w:szCs w:val="28"/>
        </w:rPr>
        <w:t xml:space="preserve">объем инвестиций </w:t>
      </w:r>
      <w:r>
        <w:rPr>
          <w:rFonts w:ascii="Times New Roman" w:hAnsi="Times New Roman" w:cs="Times New Roman"/>
          <w:color w:val="000000"/>
          <w:sz w:val="28"/>
          <w:szCs w:val="28"/>
        </w:rPr>
        <w:t xml:space="preserve">в основной капитал по полному кругу хозяйствующих субъектов </w:t>
      </w:r>
      <w:r w:rsidR="00E21151">
        <w:rPr>
          <w:rFonts w:ascii="Times New Roman" w:hAnsi="Times New Roman" w:cs="Times New Roman"/>
          <w:color w:val="000000"/>
          <w:sz w:val="28"/>
          <w:szCs w:val="28"/>
        </w:rPr>
        <w:t>(вкл.</w:t>
      </w:r>
      <w:r>
        <w:rPr>
          <w:rFonts w:ascii="Times New Roman" w:hAnsi="Times New Roman" w:cs="Times New Roman"/>
          <w:color w:val="000000"/>
          <w:sz w:val="28"/>
          <w:szCs w:val="28"/>
        </w:rPr>
        <w:t xml:space="preserve"> бюджетны</w:t>
      </w:r>
      <w:r w:rsidR="00E21151">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инвестици</w:t>
      </w:r>
      <w:r w:rsidR="00E21151">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составляет 7</w:t>
      </w:r>
      <w:r w:rsidR="00910E49" w:rsidRPr="00910E49">
        <w:rPr>
          <w:rFonts w:ascii="Times New Roman" w:hAnsi="Times New Roman" w:cs="Times New Roman"/>
          <w:color w:val="000000"/>
          <w:sz w:val="28"/>
          <w:szCs w:val="28"/>
        </w:rPr>
        <w:t>2</w:t>
      </w:r>
      <w:r w:rsidR="00910E49">
        <w:rPr>
          <w:rFonts w:ascii="Times New Roman" w:hAnsi="Times New Roman" w:cs="Times New Roman"/>
          <w:color w:val="000000"/>
          <w:sz w:val="28"/>
          <w:szCs w:val="28"/>
        </w:rPr>
        <w:t xml:space="preserve">41,2 </w:t>
      </w:r>
      <w:r>
        <w:rPr>
          <w:rFonts w:ascii="Times New Roman" w:hAnsi="Times New Roman" w:cs="Times New Roman"/>
          <w:color w:val="000000"/>
          <w:sz w:val="28"/>
          <w:szCs w:val="28"/>
        </w:rPr>
        <w:t>млн. рублей, что превышает показатель аналогичного периода 2021 года в 3,5 раза (</w:t>
      </w:r>
      <w:r w:rsidR="00910E49">
        <w:rPr>
          <w:rFonts w:ascii="Times New Roman" w:hAnsi="Times New Roman" w:cs="Times New Roman"/>
          <w:color w:val="000000"/>
          <w:sz w:val="28"/>
          <w:szCs w:val="28"/>
        </w:rPr>
        <w:t>2065,3</w:t>
      </w:r>
      <w:r>
        <w:rPr>
          <w:rFonts w:ascii="Times New Roman" w:hAnsi="Times New Roman" w:cs="Times New Roman"/>
          <w:color w:val="000000"/>
          <w:sz w:val="28"/>
          <w:szCs w:val="28"/>
        </w:rPr>
        <w:t xml:space="preserve"> млн. рублей). На начало 2022 года на территории округа шла реализация 13 инвестиционных проектов с сопровождением по принципу «одного окна», из которых </w:t>
      </w:r>
      <w:r w:rsidR="00E21151">
        <w:rPr>
          <w:rFonts w:ascii="Times New Roman" w:hAnsi="Times New Roman" w:cs="Times New Roman"/>
          <w:color w:val="000000"/>
          <w:sz w:val="28"/>
          <w:szCs w:val="28"/>
        </w:rPr>
        <w:t xml:space="preserve">2 проекта </w:t>
      </w:r>
      <w:r>
        <w:rPr>
          <w:rFonts w:ascii="Times New Roman" w:hAnsi="Times New Roman" w:cs="Times New Roman"/>
          <w:color w:val="000000"/>
          <w:sz w:val="28"/>
          <w:szCs w:val="28"/>
        </w:rPr>
        <w:t xml:space="preserve">реализованы в отчетном периоде: </w:t>
      </w:r>
    </w:p>
    <w:p w14:paraId="59CC6F0A" w14:textId="48B1A296" w:rsidR="0044268C" w:rsidRDefault="00000000">
      <w:pPr>
        <w:shd w:val="clear" w:color="auto" w:fill="FFFFFF"/>
        <w:spacing w:after="0" w:line="240" w:lineRule="auto"/>
        <w:ind w:firstLine="708"/>
        <w:jc w:val="both"/>
        <w:rPr>
          <w:shd w:val="clear" w:color="auto" w:fill="FFFF00"/>
        </w:rPr>
      </w:pPr>
      <w:r>
        <w:rPr>
          <w:rFonts w:ascii="Times New Roman" w:hAnsi="Times New Roman" w:cs="Times New Roman"/>
          <w:color w:val="000000"/>
          <w:sz w:val="28"/>
          <w:szCs w:val="28"/>
        </w:rPr>
        <w:t xml:space="preserve">- </w:t>
      </w:r>
      <w:r w:rsidR="00F1375A">
        <w:rPr>
          <w:rFonts w:ascii="Times New Roman" w:hAnsi="Times New Roman" w:cs="Times New Roman"/>
          <w:color w:val="000000"/>
          <w:sz w:val="28"/>
          <w:szCs w:val="28"/>
        </w:rPr>
        <w:t>«</w:t>
      </w:r>
      <w:r>
        <w:rPr>
          <w:rFonts w:ascii="Times New Roman" w:hAnsi="Times New Roman" w:cs="Times New Roman"/>
          <w:color w:val="000000"/>
          <w:sz w:val="28"/>
          <w:szCs w:val="28"/>
        </w:rPr>
        <w:t>Модернизация производства по переработке винограда и изготовление спиртосодержащей продукции (виноматериалы виноградные, виноматериалы фруктовые (плодовые))</w:t>
      </w:r>
      <w:r w:rsidR="00F1375A">
        <w:rPr>
          <w:rFonts w:ascii="Times New Roman" w:hAnsi="Times New Roman" w:cs="Times New Roman"/>
          <w:color w:val="000000"/>
          <w:sz w:val="28"/>
          <w:szCs w:val="28"/>
        </w:rPr>
        <w:t>»</w:t>
      </w:r>
      <w:r>
        <w:rPr>
          <w:rFonts w:ascii="Times New Roman" w:hAnsi="Times New Roman" w:cs="Times New Roman"/>
          <w:color w:val="000000"/>
          <w:sz w:val="28"/>
          <w:szCs w:val="28"/>
        </w:rPr>
        <w:t>, инициатор – ООО «Агрофирма «Жемчужина Ставрополья», место реализации г. Светлоград. За время реализации данного проекта создано 19 рабочих мест</w:t>
      </w:r>
      <w:r w:rsidR="00F1375A">
        <w:rPr>
          <w:rFonts w:ascii="Times New Roman" w:hAnsi="Times New Roman" w:cs="Times New Roman"/>
          <w:color w:val="000000"/>
          <w:sz w:val="28"/>
          <w:szCs w:val="28"/>
        </w:rPr>
        <w:t xml:space="preserve"> и освоено</w:t>
      </w:r>
      <w:r>
        <w:rPr>
          <w:rFonts w:ascii="Times New Roman" w:hAnsi="Times New Roman" w:cs="Times New Roman"/>
          <w:color w:val="000000"/>
          <w:sz w:val="28"/>
          <w:szCs w:val="28"/>
        </w:rPr>
        <w:t xml:space="preserve"> 96,8 млн. рублей;</w:t>
      </w:r>
    </w:p>
    <w:p w14:paraId="12CCB3F8" w14:textId="4EB70907" w:rsidR="0044268C" w:rsidRDefault="00000000">
      <w:pPr>
        <w:shd w:val="clear" w:color="auto" w:fill="FFFFFF"/>
        <w:spacing w:after="0" w:line="240" w:lineRule="auto"/>
        <w:ind w:firstLine="708"/>
        <w:jc w:val="both"/>
        <w:rPr>
          <w:shd w:val="clear" w:color="auto" w:fill="FFFF00"/>
        </w:rPr>
      </w:pPr>
      <w:r>
        <w:rPr>
          <w:rFonts w:ascii="Times New Roman" w:hAnsi="Times New Roman" w:cs="Times New Roman"/>
          <w:color w:val="000000"/>
          <w:sz w:val="28"/>
          <w:szCs w:val="28"/>
        </w:rPr>
        <w:t xml:space="preserve">- </w:t>
      </w:r>
      <w:r w:rsidR="00F1375A">
        <w:rPr>
          <w:rFonts w:ascii="Times New Roman" w:hAnsi="Times New Roman" w:cs="Times New Roman"/>
          <w:color w:val="000000"/>
          <w:sz w:val="28"/>
          <w:szCs w:val="28"/>
        </w:rPr>
        <w:t>«</w:t>
      </w:r>
      <w:r>
        <w:rPr>
          <w:rFonts w:ascii="Times New Roman" w:hAnsi="Times New Roman" w:cs="Times New Roman"/>
          <w:color w:val="000000"/>
          <w:sz w:val="28"/>
          <w:szCs w:val="28"/>
        </w:rPr>
        <w:t>Строительство системы</w:t>
      </w:r>
      <w:r>
        <w:rPr>
          <w:rFonts w:ascii="Times New Roman" w:eastAsia="Times New Roman" w:hAnsi="Times New Roman" w:cs="Times New Roman"/>
          <w:color w:val="000000"/>
          <w:sz w:val="28"/>
          <w:szCs w:val="28"/>
        </w:rPr>
        <w:t xml:space="preserve"> орошения площадью 2500 га на земельном участке 5000 га для ООО «Иррико-Холдинг», место реализации с. Гофицкое. За время реализации данного проекта создано 28 рабочих мест</w:t>
      </w:r>
      <w:r w:rsidR="00F1375A">
        <w:rPr>
          <w:rFonts w:ascii="Times New Roman" w:eastAsia="Times New Roman" w:hAnsi="Times New Roman" w:cs="Times New Roman"/>
          <w:color w:val="000000"/>
          <w:sz w:val="28"/>
          <w:szCs w:val="28"/>
        </w:rPr>
        <w:t xml:space="preserve"> и освоено</w:t>
      </w:r>
      <w:r>
        <w:rPr>
          <w:rFonts w:ascii="Times New Roman" w:eastAsia="Times New Roman" w:hAnsi="Times New Roman" w:cs="Times New Roman"/>
          <w:color w:val="000000"/>
          <w:sz w:val="28"/>
          <w:szCs w:val="28"/>
        </w:rPr>
        <w:t xml:space="preserve"> 826,5 млн. рублей. </w:t>
      </w:r>
    </w:p>
    <w:p w14:paraId="5220E2B2" w14:textId="0096FB73" w:rsidR="0044268C" w:rsidRDefault="00000000">
      <w:pPr>
        <w:spacing w:after="0" w:line="240" w:lineRule="auto"/>
        <w:ind w:firstLine="708"/>
        <w:jc w:val="both"/>
        <w:rPr>
          <w:shd w:val="clear" w:color="auto" w:fill="FFFF00"/>
        </w:rPr>
      </w:pPr>
      <w:r>
        <w:rPr>
          <w:rFonts w:ascii="Times New Roman" w:eastAsia="Lucida Sans Unicode" w:hAnsi="Times New Roman" w:cs="Tahoma"/>
          <w:color w:val="000000"/>
          <w:sz w:val="28"/>
          <w:szCs w:val="28"/>
        </w:rPr>
        <w:t>По официальным статистическим данным по состоянию на 01 октября 2022 года на территории округа осуществляли деятельность 2100 хозяйствующих субъект</w:t>
      </w:r>
      <w:r w:rsidR="00E21151">
        <w:rPr>
          <w:rFonts w:ascii="Times New Roman" w:eastAsia="Lucida Sans Unicode" w:hAnsi="Times New Roman" w:cs="Tahoma"/>
          <w:color w:val="000000"/>
          <w:sz w:val="28"/>
          <w:szCs w:val="28"/>
        </w:rPr>
        <w:t>ов</w:t>
      </w:r>
      <w:r>
        <w:rPr>
          <w:rFonts w:ascii="Times New Roman" w:eastAsia="Lucida Sans Unicode" w:hAnsi="Times New Roman" w:cs="Tahoma"/>
          <w:color w:val="000000"/>
          <w:sz w:val="28"/>
          <w:szCs w:val="28"/>
        </w:rPr>
        <w:t xml:space="preserve">, в том числе 1867 </w:t>
      </w:r>
      <w:r>
        <w:rPr>
          <w:rFonts w:ascii="Times New Roman" w:eastAsia="Lucida Sans Unicode" w:hAnsi="Times New Roman" w:cs="Tahoma"/>
          <w:b/>
          <w:bCs/>
          <w:color w:val="000000"/>
          <w:sz w:val="28"/>
          <w:szCs w:val="28"/>
        </w:rPr>
        <w:t xml:space="preserve">субъектов малого и среднего бизнеса </w:t>
      </w:r>
      <w:r>
        <w:rPr>
          <w:rFonts w:ascii="Times New Roman" w:eastAsia="Lucida Sans Unicode" w:hAnsi="Times New Roman" w:cs="Tahoma"/>
          <w:color w:val="000000"/>
          <w:sz w:val="28"/>
          <w:szCs w:val="28"/>
        </w:rPr>
        <w:t>(далее — субъект МСП), из них 1678 индивидуальных предпринимателей (80,3% от общего числа хозяйствующих субъектов) и 189 юридических лица. Кроме того</w:t>
      </w:r>
      <w:r w:rsidR="00F1375A">
        <w:rPr>
          <w:rFonts w:ascii="Times New Roman" w:eastAsia="Lucida Sans Unicode" w:hAnsi="Times New Roman" w:cs="Tahoma"/>
          <w:color w:val="000000"/>
          <w:sz w:val="28"/>
          <w:szCs w:val="28"/>
        </w:rPr>
        <w:t>,</w:t>
      </w:r>
      <w:r>
        <w:rPr>
          <w:rFonts w:ascii="Times New Roman" w:eastAsia="Lucida Sans Unicode" w:hAnsi="Times New Roman" w:cs="Tahoma"/>
          <w:color w:val="000000"/>
          <w:sz w:val="28"/>
          <w:szCs w:val="28"/>
        </w:rPr>
        <w:t xml:space="preserve"> по данным Межрайонной ИФНС России № 3 по Ставропольскому краю</w:t>
      </w:r>
      <w:r w:rsidR="00F1375A">
        <w:rPr>
          <w:rFonts w:ascii="Times New Roman" w:eastAsia="Lucida Sans Unicode" w:hAnsi="Times New Roman" w:cs="Tahoma"/>
          <w:color w:val="000000"/>
          <w:sz w:val="28"/>
          <w:szCs w:val="28"/>
        </w:rPr>
        <w:t>,</w:t>
      </w:r>
      <w:r>
        <w:rPr>
          <w:rFonts w:ascii="Times New Roman" w:eastAsia="Lucida Sans Unicode" w:hAnsi="Times New Roman" w:cs="Tahoma"/>
          <w:color w:val="000000"/>
          <w:sz w:val="28"/>
          <w:szCs w:val="28"/>
        </w:rPr>
        <w:t xml:space="preserve"> 1701 налогоплательщик, состоящи</w:t>
      </w:r>
      <w:r w:rsidR="00E21151">
        <w:rPr>
          <w:rFonts w:ascii="Times New Roman" w:eastAsia="Lucida Sans Unicode" w:hAnsi="Times New Roman" w:cs="Tahoma"/>
          <w:color w:val="000000"/>
          <w:sz w:val="28"/>
          <w:szCs w:val="28"/>
        </w:rPr>
        <w:t>й</w:t>
      </w:r>
      <w:r>
        <w:rPr>
          <w:rFonts w:ascii="Times New Roman" w:eastAsia="Lucida Sans Unicode" w:hAnsi="Times New Roman" w:cs="Tahoma"/>
          <w:color w:val="000000"/>
          <w:sz w:val="28"/>
          <w:szCs w:val="28"/>
        </w:rPr>
        <w:t xml:space="preserve"> на учете по месту жительства в Петровском городском округе Ставропольского края, применя</w:t>
      </w:r>
      <w:r w:rsidR="00E21151">
        <w:rPr>
          <w:rFonts w:ascii="Times New Roman" w:eastAsia="Lucida Sans Unicode" w:hAnsi="Times New Roman" w:cs="Tahoma"/>
          <w:color w:val="000000"/>
          <w:sz w:val="28"/>
          <w:szCs w:val="28"/>
        </w:rPr>
        <w:t>е</w:t>
      </w:r>
      <w:r>
        <w:rPr>
          <w:rFonts w:ascii="Times New Roman" w:eastAsia="Lucida Sans Unicode" w:hAnsi="Times New Roman" w:cs="Tahoma"/>
          <w:color w:val="000000"/>
          <w:sz w:val="28"/>
          <w:szCs w:val="28"/>
        </w:rPr>
        <w:t>т специальный налоговый режим «Налог на профессиональный доход».</w:t>
      </w:r>
    </w:p>
    <w:p w14:paraId="52A5A9F1" w14:textId="382269D0" w:rsidR="0044268C" w:rsidRDefault="00000000">
      <w:pPr>
        <w:spacing w:after="0" w:line="240" w:lineRule="auto"/>
        <w:ind w:firstLine="708"/>
        <w:jc w:val="both"/>
        <w:rPr>
          <w:shd w:val="clear" w:color="auto" w:fill="FFFF00"/>
        </w:rPr>
      </w:pPr>
      <w:bookmarkStart w:id="1" w:name="_Hlk528677365"/>
      <w:bookmarkEnd w:id="1"/>
      <w:r>
        <w:rPr>
          <w:rFonts w:ascii="Times New Roman" w:hAnsi="Times New Roman"/>
          <w:color w:val="000000"/>
          <w:sz w:val="28"/>
          <w:szCs w:val="28"/>
        </w:rPr>
        <w:t xml:space="preserve">В отчетном периоде микрозаймы НМО «Фонд микрофинансирования субъектов малого и среднего предпринимательства в Ставропольском крае» предоставлены 6 субъектам МСП на общую сумму 13,0 млн. рублей.                    ГУП СК «Гарантийный фонд поддержки субъектов малого и среднего предпринимательства в Ставропольском крае» предоставлено 2 поручительства на сумму 13,5 млн. рублей. </w:t>
      </w:r>
      <w:r>
        <w:rPr>
          <w:rFonts w:ascii="Times New Roman" w:hAnsi="Times New Roman" w:cs="Times New Roman"/>
          <w:color w:val="000000"/>
          <w:sz w:val="28"/>
          <w:szCs w:val="28"/>
        </w:rPr>
        <w:t xml:space="preserve">Фондом поддержки предпринимательства в Ставропольском крае субъектам </w:t>
      </w:r>
      <w:r w:rsidR="00E21151">
        <w:rPr>
          <w:rFonts w:ascii="Times New Roman" w:hAnsi="Times New Roman" w:cs="Times New Roman"/>
          <w:color w:val="000000"/>
          <w:sz w:val="28"/>
          <w:szCs w:val="28"/>
        </w:rPr>
        <w:t>МСП</w:t>
      </w:r>
      <w:r>
        <w:rPr>
          <w:rFonts w:ascii="Times New Roman" w:hAnsi="Times New Roman" w:cs="Times New Roman"/>
          <w:color w:val="000000"/>
          <w:sz w:val="28"/>
          <w:szCs w:val="28"/>
        </w:rPr>
        <w:t xml:space="preserve"> было оказано 19 услуг (по мерам поддержки, об открытии бизнеса, бизнес-планировании т.д.). Субсидию за счет средств бюджета</w:t>
      </w:r>
      <w:r>
        <w:rPr>
          <w:rFonts w:ascii="Times New Roman" w:hAnsi="Times New Roman" w:cs="Times New Roman"/>
          <w:sz w:val="28"/>
          <w:szCs w:val="28"/>
        </w:rPr>
        <w:t xml:space="preserve"> Ставропольского края (далее — краевой бюджет) на возмещение части стоимости приобретенного технологического оборудования</w:t>
      </w:r>
      <w:r>
        <w:rPr>
          <w:rFonts w:ascii="Times New Roman" w:hAnsi="Times New Roman" w:cs="Times New Roman"/>
          <w:color w:val="000000"/>
          <w:sz w:val="28"/>
          <w:szCs w:val="28"/>
        </w:rPr>
        <w:t xml:space="preserve"> в сумме 0,11 млн. рублей получил 1 субъект МСП, осуществляющий деятельность в сфере пищевой и перерабатывающей промышленности. Так же </w:t>
      </w:r>
      <w:r>
        <w:rPr>
          <w:rFonts w:ascii="Times New Roman" w:hAnsi="Times New Roman" w:cs="Times New Roman"/>
          <w:color w:val="000000"/>
          <w:sz w:val="28"/>
        </w:rPr>
        <w:t xml:space="preserve">за счет средств краевого бюджета субсидию в сумме 3,2 млн. рублей получил 1 субъект МСП на возмещение части затрат, </w:t>
      </w:r>
      <w:r>
        <w:rPr>
          <w:rFonts w:ascii="Times New Roman" w:hAnsi="Times New Roman" w:cs="Times New Roman"/>
          <w:color w:val="000000"/>
          <w:sz w:val="28"/>
        </w:rPr>
        <w:lastRenderedPageBreak/>
        <w:t>связанных с приобретением оборудования в целях создания и (или) развития либо модернизации производства товаров (работ, услуг).</w:t>
      </w:r>
    </w:p>
    <w:p w14:paraId="3875763E" w14:textId="77777777" w:rsidR="0044268C" w:rsidRDefault="00000000">
      <w:pPr>
        <w:spacing w:after="0" w:line="240" w:lineRule="auto"/>
        <w:ind w:firstLine="708"/>
        <w:jc w:val="both"/>
      </w:pPr>
      <w:r>
        <w:rPr>
          <w:rFonts w:ascii="Times New Roman" w:hAnsi="Times New Roman" w:cs="Times New Roman"/>
          <w:b/>
          <w:color w:val="000000"/>
          <w:sz w:val="28"/>
          <w:szCs w:val="28"/>
        </w:rPr>
        <w:t xml:space="preserve">Сальдированный финансовый результат </w:t>
      </w:r>
      <w:r>
        <w:rPr>
          <w:rFonts w:ascii="Times New Roman" w:hAnsi="Times New Roman" w:cs="Times New Roman"/>
          <w:color w:val="000000"/>
          <w:sz w:val="28"/>
          <w:szCs w:val="28"/>
        </w:rPr>
        <w:t xml:space="preserve">деятельности крупных и средних предприятий за январь — август 2022 года сложился положительным и составил </w:t>
      </w:r>
      <w:r>
        <w:rPr>
          <w:rFonts w:ascii="Times New Roman" w:hAnsi="Times New Roman"/>
          <w:color w:val="000000"/>
          <w:sz w:val="28"/>
          <w:szCs w:val="28"/>
        </w:rPr>
        <w:t xml:space="preserve">893,8 </w:t>
      </w:r>
      <w:r>
        <w:rPr>
          <w:rFonts w:ascii="Times New Roman" w:hAnsi="Times New Roman" w:cs="Times New Roman"/>
          <w:color w:val="000000"/>
          <w:sz w:val="28"/>
          <w:szCs w:val="28"/>
        </w:rPr>
        <w:t xml:space="preserve">млн. рублей при темпе роста к показателю предыдущего года 35,0%. Прибыль в размере </w:t>
      </w:r>
      <w:r>
        <w:rPr>
          <w:rFonts w:ascii="Times New Roman" w:hAnsi="Times New Roman"/>
          <w:color w:val="000000"/>
          <w:sz w:val="28"/>
          <w:szCs w:val="28"/>
        </w:rPr>
        <w:t xml:space="preserve">1023,8 </w:t>
      </w:r>
      <w:r>
        <w:rPr>
          <w:rFonts w:ascii="Times New Roman" w:hAnsi="Times New Roman" w:cs="Times New Roman"/>
          <w:color w:val="000000"/>
          <w:sz w:val="28"/>
          <w:szCs w:val="28"/>
        </w:rPr>
        <w:t xml:space="preserve">млн. рублей получили </w:t>
      </w:r>
      <w:r>
        <w:rPr>
          <w:rFonts w:ascii="Times New Roman" w:hAnsi="Times New Roman"/>
          <w:color w:val="000000"/>
          <w:sz w:val="28"/>
          <w:szCs w:val="28"/>
        </w:rPr>
        <w:t>70,0</w:t>
      </w:r>
      <w:r>
        <w:rPr>
          <w:rFonts w:ascii="Times New Roman" w:hAnsi="Times New Roman" w:cs="Times New Roman"/>
          <w:color w:val="000000"/>
          <w:sz w:val="28"/>
          <w:szCs w:val="28"/>
        </w:rPr>
        <w:t xml:space="preserve">% предприятий округа. Убыток </w:t>
      </w:r>
      <w:r>
        <w:rPr>
          <w:rFonts w:ascii="Times New Roman" w:hAnsi="Times New Roman"/>
          <w:color w:val="000000"/>
          <w:sz w:val="28"/>
          <w:szCs w:val="28"/>
        </w:rPr>
        <w:t xml:space="preserve">130,1 </w:t>
      </w:r>
      <w:r>
        <w:rPr>
          <w:rFonts w:ascii="Times New Roman" w:hAnsi="Times New Roman" w:cs="Times New Roman"/>
          <w:color w:val="000000"/>
          <w:sz w:val="28"/>
          <w:szCs w:val="28"/>
        </w:rPr>
        <w:t xml:space="preserve">млн. рублей получили </w:t>
      </w:r>
      <w:r>
        <w:rPr>
          <w:rFonts w:ascii="Times New Roman" w:hAnsi="Times New Roman"/>
          <w:color w:val="000000"/>
          <w:sz w:val="28"/>
          <w:szCs w:val="28"/>
        </w:rPr>
        <w:t>30</w:t>
      </w:r>
      <w:r>
        <w:rPr>
          <w:rFonts w:ascii="Times New Roman" w:hAnsi="Times New Roman" w:cs="Times New Roman"/>
          <w:color w:val="000000"/>
          <w:sz w:val="28"/>
          <w:szCs w:val="28"/>
        </w:rPr>
        <w:t>% общего количества предприятий.</w:t>
      </w:r>
    </w:p>
    <w:p w14:paraId="0D45ED63" w14:textId="2A3056DF" w:rsidR="0044268C" w:rsidRDefault="00000000">
      <w:pPr>
        <w:spacing w:after="0" w:line="240" w:lineRule="auto"/>
        <w:jc w:val="both"/>
      </w:pPr>
      <w:r>
        <w:rPr>
          <w:rFonts w:ascii="Times New Roman" w:hAnsi="Times New Roman" w:cs="Times New Roman"/>
          <w:color w:val="000000"/>
          <w:sz w:val="28"/>
          <w:szCs w:val="28"/>
        </w:rPr>
        <w:tab/>
        <w:t xml:space="preserve">В </w:t>
      </w:r>
      <w:r>
        <w:rPr>
          <w:rFonts w:ascii="Times New Roman" w:hAnsi="Times New Roman" w:cs="Times New Roman"/>
          <w:b/>
          <w:bCs/>
          <w:color w:val="000000"/>
          <w:sz w:val="28"/>
          <w:szCs w:val="28"/>
        </w:rPr>
        <w:t xml:space="preserve">бюджет </w:t>
      </w:r>
      <w:r>
        <w:rPr>
          <w:rFonts w:ascii="Times New Roman" w:hAnsi="Times New Roman" w:cs="Times New Roman"/>
          <w:color w:val="000000"/>
          <w:sz w:val="28"/>
          <w:szCs w:val="28"/>
        </w:rPr>
        <w:t xml:space="preserve">Петровского городского округа Ставропольского края (далее – местный бюджет) за 9 месяцев 2022 года поступило 1 730,5 млн. рублей доходов. По состоянию на 01 октября 2022 года доходная часть местного бюджета исполнена на 65,4% к годовым бюджетным назначениям (запланировано 2647,4 млн. рублей). По сравнению с аналогичным периодом прошлого года поступление доходов снизилось на 20,6 млн. рублей. Данное снижение вызвано уменьшением в текущем периоде объема безвозмездных поступлений (межбюджетных трансфертов) </w:t>
      </w:r>
      <w:r w:rsidR="006A07E1">
        <w:rPr>
          <w:rFonts w:ascii="Times New Roman" w:hAnsi="Times New Roman" w:cs="Times New Roman"/>
          <w:color w:val="000000"/>
          <w:sz w:val="28"/>
          <w:szCs w:val="28"/>
        </w:rPr>
        <w:t>из бюджетной системы</w:t>
      </w:r>
      <w:r>
        <w:rPr>
          <w:rFonts w:ascii="Times New Roman" w:hAnsi="Times New Roman" w:cs="Times New Roman"/>
          <w:color w:val="000000"/>
          <w:sz w:val="28"/>
          <w:szCs w:val="28"/>
        </w:rPr>
        <w:t xml:space="preserve"> Российской Федерации по сравнению с поступлениями за 9 месяцев 2021 года. В общей сумме поступлений 23,7% или 410,6 млн. рублей составили налоговые и неналоговые доходы. Безвозмездные поступления на 01 октября 2022 года занимают 76,3% всех доходов местного бюджета.</w:t>
      </w:r>
    </w:p>
    <w:p w14:paraId="4EB09FAB" w14:textId="77777777" w:rsidR="0044268C" w:rsidRDefault="00000000">
      <w:pPr>
        <w:spacing w:after="0" w:line="240" w:lineRule="auto"/>
        <w:ind w:firstLine="709"/>
        <w:jc w:val="both"/>
      </w:pPr>
      <w:r>
        <w:rPr>
          <w:rFonts w:ascii="Times New Roman" w:hAnsi="Times New Roman" w:cs="Times New Roman"/>
          <w:color w:val="000000"/>
          <w:sz w:val="28"/>
          <w:szCs w:val="28"/>
        </w:rPr>
        <w:t>Объем планируемых расходов местного бюджета на 2022 год в течение 9 месяцев 2022 года увеличился по сравнению с первоначально принятым бюджетом на 777,5 млн. рублей, уточненный план составляет 2990,5 млн. рублей.</w:t>
      </w:r>
    </w:p>
    <w:p w14:paraId="68EA3F81" w14:textId="77777777" w:rsidR="0044268C" w:rsidRDefault="00000000">
      <w:pPr>
        <w:spacing w:after="0" w:line="240" w:lineRule="auto"/>
        <w:ind w:firstLine="680"/>
        <w:jc w:val="both"/>
      </w:pPr>
      <w:r>
        <w:rPr>
          <w:rFonts w:ascii="Times New Roman" w:eastAsia="Times New Roman" w:hAnsi="Times New Roman" w:cs="Times New Roman"/>
          <w:color w:val="000000"/>
          <w:sz w:val="28"/>
          <w:szCs w:val="28"/>
        </w:rPr>
        <w:t xml:space="preserve">Кассовое исполнение бюджета округа осуществляется в рамках реализации 14 муниципальных программ Петровского городского округа Ставропольского края (далее - муниципальные программы). Кассовое исполнение за отчетный период сложилось в сумме </w:t>
      </w:r>
      <w:r>
        <w:rPr>
          <w:rFonts w:ascii="Times New Roman" w:hAnsi="Times New Roman"/>
          <w:color w:val="000000"/>
          <w:sz w:val="28"/>
          <w:szCs w:val="28"/>
        </w:rPr>
        <w:t>1873,8</w:t>
      </w:r>
      <w:r>
        <w:rPr>
          <w:rFonts w:ascii="Times New Roman" w:eastAsia="Times New Roman" w:hAnsi="Times New Roman" w:cs="Times New Roman"/>
          <w:color w:val="000000"/>
          <w:sz w:val="28"/>
          <w:szCs w:val="28"/>
        </w:rPr>
        <w:t xml:space="preserve"> млн. рублей или 61,1% к уточненному годовому плану. </w:t>
      </w:r>
      <w:r>
        <w:rPr>
          <w:rFonts w:ascii="Times New Roman" w:hAnsi="Times New Roman" w:cs="Times New Roman"/>
          <w:color w:val="000000"/>
          <w:sz w:val="28"/>
          <w:szCs w:val="28"/>
        </w:rPr>
        <w:t>Непрограммная часть занимает 2,</w:t>
      </w:r>
      <w:r>
        <w:rPr>
          <w:rFonts w:ascii="Times New Roman" w:hAnsi="Times New Roman"/>
          <w:color w:val="000000"/>
          <w:sz w:val="28"/>
          <w:szCs w:val="28"/>
        </w:rPr>
        <w:t>4</w:t>
      </w:r>
      <w:r>
        <w:rPr>
          <w:rFonts w:ascii="Times New Roman" w:hAnsi="Times New Roman" w:cs="Times New Roman"/>
          <w:color w:val="000000"/>
          <w:sz w:val="28"/>
          <w:szCs w:val="28"/>
        </w:rPr>
        <w:t xml:space="preserve">% от общего объема расходов бюджета округа. </w:t>
      </w:r>
    </w:p>
    <w:p w14:paraId="03C6B3FC" w14:textId="529267BD" w:rsidR="006A07E1" w:rsidRDefault="00000000" w:rsidP="006A07E1">
      <w:pPr>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В отчетном периоде в рамках</w:t>
      </w:r>
      <w:r>
        <w:rPr>
          <w:rFonts w:ascii="Times New Roman" w:hAnsi="Times New Roman" w:cs="Times New Roman"/>
          <w:b/>
          <w:color w:val="000000"/>
          <w:sz w:val="28"/>
          <w:szCs w:val="28"/>
        </w:rPr>
        <w:t xml:space="preserve"> муниципальных программ </w:t>
      </w:r>
      <w:r w:rsidR="006A07E1">
        <w:rPr>
          <w:rFonts w:ascii="Times New Roman" w:hAnsi="Times New Roman" w:cs="Times New Roman"/>
          <w:color w:val="000000"/>
          <w:sz w:val="28"/>
          <w:szCs w:val="28"/>
        </w:rPr>
        <w:t>продолжалась</w:t>
      </w:r>
      <w:r>
        <w:rPr>
          <w:rFonts w:ascii="Times New Roman" w:hAnsi="Times New Roman" w:cs="Times New Roman"/>
          <w:color w:val="000000"/>
          <w:sz w:val="28"/>
          <w:szCs w:val="28"/>
        </w:rPr>
        <w:t xml:space="preserve"> реализация проектов, основанных на инициативах</w:t>
      </w:r>
      <w:r w:rsidR="006A07E1">
        <w:rPr>
          <w:rFonts w:ascii="Times New Roman" w:hAnsi="Times New Roman" w:cs="Times New Roman"/>
          <w:color w:val="000000"/>
          <w:sz w:val="28"/>
          <w:szCs w:val="28"/>
        </w:rPr>
        <w:t xml:space="preserve"> населения округа, финансирование которых осуществляется из краевого и местного бюджетов и внебюджетных источников. К концу 2022 года планируется реализовать 18 таких проектов</w:t>
      </w:r>
      <w:r w:rsidR="002E14C7">
        <w:rPr>
          <w:rFonts w:ascii="Times New Roman" w:hAnsi="Times New Roman" w:cs="Times New Roman"/>
          <w:color w:val="000000"/>
          <w:sz w:val="28"/>
          <w:szCs w:val="28"/>
        </w:rPr>
        <w:t>, в т.ч.</w:t>
      </w:r>
      <w:r w:rsidR="006A07E1">
        <w:rPr>
          <w:rFonts w:ascii="Times New Roman" w:hAnsi="Times New Roman" w:cs="Times New Roman"/>
          <w:color w:val="000000"/>
          <w:sz w:val="28"/>
          <w:szCs w:val="28"/>
        </w:rPr>
        <w:t xml:space="preserve"> по 5 проектам </w:t>
      </w:r>
      <w:r w:rsidR="002E14C7">
        <w:rPr>
          <w:rFonts w:ascii="Times New Roman" w:hAnsi="Times New Roman" w:cs="Times New Roman"/>
          <w:color w:val="000000"/>
          <w:sz w:val="28"/>
          <w:szCs w:val="28"/>
        </w:rPr>
        <w:t xml:space="preserve">работы </w:t>
      </w:r>
      <w:r w:rsidR="006A07E1">
        <w:rPr>
          <w:rFonts w:ascii="Times New Roman" w:hAnsi="Times New Roman" w:cs="Times New Roman"/>
          <w:color w:val="000000"/>
          <w:sz w:val="28"/>
          <w:szCs w:val="28"/>
        </w:rPr>
        <w:t>будут профинансированы</w:t>
      </w:r>
      <w:r w:rsidR="002E14C7">
        <w:rPr>
          <w:rFonts w:ascii="Times New Roman" w:hAnsi="Times New Roman" w:cs="Times New Roman"/>
          <w:color w:val="000000"/>
          <w:sz w:val="28"/>
          <w:szCs w:val="28"/>
        </w:rPr>
        <w:t xml:space="preserve"> только</w:t>
      </w:r>
      <w:r w:rsidR="006A07E1">
        <w:rPr>
          <w:rFonts w:ascii="Times New Roman" w:hAnsi="Times New Roman" w:cs="Times New Roman"/>
          <w:color w:val="000000"/>
          <w:sz w:val="28"/>
          <w:szCs w:val="28"/>
        </w:rPr>
        <w:t xml:space="preserve"> за счет местного бюджета и внебюджет</w:t>
      </w:r>
      <w:r w:rsidR="00054E84">
        <w:rPr>
          <w:rFonts w:ascii="Times New Roman" w:hAnsi="Times New Roman" w:cs="Times New Roman"/>
          <w:color w:val="000000"/>
          <w:sz w:val="28"/>
          <w:szCs w:val="28"/>
        </w:rPr>
        <w:t>ных источников</w:t>
      </w:r>
      <w:r w:rsidR="006A07E1">
        <w:rPr>
          <w:rFonts w:ascii="Times New Roman" w:hAnsi="Times New Roman" w:cs="Times New Roman"/>
          <w:color w:val="000000"/>
          <w:sz w:val="28"/>
          <w:szCs w:val="28"/>
        </w:rPr>
        <w:t>.</w:t>
      </w:r>
    </w:p>
    <w:p w14:paraId="7D9336A3" w14:textId="508155CF" w:rsidR="0044268C" w:rsidRPr="006A07E1" w:rsidRDefault="00000000" w:rsidP="006A07E1">
      <w:pPr>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Приобретена коммунальная техника для уборки улиц г. Светлоград</w:t>
      </w:r>
      <w:r w:rsidR="006A07E1">
        <w:rPr>
          <w:rFonts w:ascii="Times New Roman" w:hAnsi="Times New Roman" w:cs="Times New Roman"/>
          <w:color w:val="000000"/>
          <w:sz w:val="28"/>
          <w:szCs w:val="28"/>
        </w:rPr>
        <w:t>, в</w:t>
      </w:r>
      <w:r>
        <w:rPr>
          <w:rFonts w:ascii="Times New Roman" w:hAnsi="Times New Roman" w:cs="Times New Roman"/>
          <w:color w:val="000000"/>
          <w:sz w:val="28"/>
          <w:szCs w:val="28"/>
        </w:rPr>
        <w:t xml:space="preserve"> полном объеме завершены работы по благоустройству зоны отдыха, прилегающей к сельскому Дому культуры и обустройству детской площадки в с. Шангала, зоны отдыха на территории, прилегающей к Дому культуры с. Рогатая Балка, парковой зоны в с. Высоцкое, детской игровой площадки в с. Просянка, городского кладбища № 1 в г. Светлограде, пешеходной зоны в с. Благодатное</w:t>
      </w:r>
      <w:r w:rsidR="006A07E1">
        <w:rPr>
          <w:rFonts w:ascii="Times New Roman" w:hAnsi="Times New Roman" w:cs="Times New Roman"/>
          <w:color w:val="000000"/>
          <w:sz w:val="28"/>
          <w:szCs w:val="28"/>
        </w:rPr>
        <w:t xml:space="preserve">, комплексной спортивной площадки в с. Ореховка. </w:t>
      </w:r>
      <w:r>
        <w:rPr>
          <w:rFonts w:ascii="Times New Roman" w:hAnsi="Times New Roman" w:cs="Times New Roman"/>
          <w:color w:val="000000"/>
          <w:sz w:val="28"/>
          <w:szCs w:val="28"/>
        </w:rPr>
        <w:t xml:space="preserve">Завершены </w:t>
      </w:r>
      <w:r>
        <w:rPr>
          <w:rFonts w:ascii="Times New Roman" w:hAnsi="Times New Roman" w:cs="Times New Roman"/>
          <w:color w:val="000000"/>
          <w:sz w:val="28"/>
          <w:szCs w:val="28"/>
        </w:rPr>
        <w:lastRenderedPageBreak/>
        <w:t>работы по ремонту пешеходных дорожек и оборудование освещения центральной аллеи в парковой зоне пос. Прикалаусский.</w:t>
      </w:r>
    </w:p>
    <w:p w14:paraId="13A4184F" w14:textId="0AE17A65" w:rsidR="0044268C" w:rsidRDefault="00000000">
      <w:pPr>
        <w:spacing w:after="0" w:line="240" w:lineRule="auto"/>
        <w:ind w:firstLine="680"/>
        <w:jc w:val="both"/>
      </w:pPr>
      <w:r>
        <w:rPr>
          <w:rFonts w:ascii="Times New Roman" w:hAnsi="Times New Roman" w:cs="Times New Roman"/>
          <w:color w:val="000000"/>
          <w:sz w:val="28"/>
          <w:szCs w:val="28"/>
        </w:rPr>
        <w:t>Продолжаются работы по благоустройству детских игровых площадок в селах Гофицкое, Сухая Буйвол</w:t>
      </w:r>
      <w:r w:rsidR="006A07E1">
        <w:rPr>
          <w:rFonts w:ascii="Times New Roman" w:hAnsi="Times New Roman" w:cs="Times New Roman"/>
          <w:color w:val="000000"/>
          <w:sz w:val="28"/>
          <w:szCs w:val="28"/>
        </w:rPr>
        <w:t xml:space="preserve">а, ремонт участка автомобильной дороги в с. Николина Балка, обустройство остановочных павильонов в г. Светлограде. </w:t>
      </w:r>
      <w:r>
        <w:rPr>
          <w:rFonts w:ascii="Times New Roman" w:hAnsi="Times New Roman" w:cs="Times New Roman"/>
          <w:color w:val="000000"/>
          <w:sz w:val="28"/>
          <w:szCs w:val="28"/>
        </w:rPr>
        <w:t xml:space="preserve"> Всего в 2022 году планируется реализовать 13 проектов, основанных на местных инициативах.</w:t>
      </w:r>
    </w:p>
    <w:p w14:paraId="6764EDC3" w14:textId="77777777" w:rsidR="006A07E1" w:rsidRDefault="006A07E1">
      <w:pPr>
        <w:spacing w:after="0" w:line="24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счет средств местного бюджета завершены работы по устройству ограждения баскетбольной площадки на территории стадиона в с. Донская Балка, обустроены ступени на земельном участке, расположенном по адресу с. Константиновское, ул. Ледовского, земельный участок 2в. </w:t>
      </w:r>
    </w:p>
    <w:p w14:paraId="19454360" w14:textId="05319C49" w:rsidR="0044268C" w:rsidRDefault="00000000">
      <w:pPr>
        <w:spacing w:after="0" w:line="240" w:lineRule="auto"/>
        <w:ind w:firstLine="680"/>
        <w:jc w:val="both"/>
      </w:pPr>
      <w:r>
        <w:rPr>
          <w:rFonts w:ascii="Times New Roman" w:hAnsi="Times New Roman" w:cs="Times New Roman"/>
          <w:color w:val="000000"/>
          <w:sz w:val="28"/>
          <w:szCs w:val="28"/>
        </w:rPr>
        <w:t>Продолжаются работы по благоустройству земельного участка</w:t>
      </w:r>
      <w:r w:rsidR="00054E84">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расположенного по адресу с. Константиновское, ул. Ледовского, земельный участок 2в, комплексной спортивной площадки в с. Николина Балка, ведутся работы по </w:t>
      </w:r>
      <w:r w:rsidR="002E14C7">
        <w:rPr>
          <w:rFonts w:ascii="Times New Roman" w:hAnsi="Times New Roman" w:cs="Times New Roman"/>
          <w:color w:val="000000"/>
          <w:sz w:val="28"/>
          <w:szCs w:val="28"/>
        </w:rPr>
        <w:t>асфальтированию</w:t>
      </w:r>
      <w:r>
        <w:rPr>
          <w:rFonts w:ascii="Times New Roman" w:hAnsi="Times New Roman" w:cs="Times New Roman"/>
          <w:color w:val="000000"/>
          <w:sz w:val="28"/>
          <w:szCs w:val="28"/>
        </w:rPr>
        <w:t xml:space="preserve"> дорог местного значения по ул. Солнечная и пер. Громова в г. Светлограде</w:t>
      </w:r>
    </w:p>
    <w:p w14:paraId="113687F4" w14:textId="77777777" w:rsidR="0044268C" w:rsidRDefault="00000000">
      <w:pPr>
        <w:widowControl w:val="0"/>
        <w:spacing w:after="0" w:line="240" w:lineRule="auto"/>
        <w:ind w:firstLine="708"/>
        <w:jc w:val="both"/>
      </w:pPr>
      <w:r>
        <w:rPr>
          <w:rFonts w:ascii="Times New Roman" w:eastAsia="Lucida Sans Unicode" w:hAnsi="Times New Roman" w:cs="Tahoma"/>
          <w:color w:val="000000"/>
          <w:sz w:val="28"/>
          <w:szCs w:val="28"/>
          <w:lang w:eastAsia="en-US"/>
        </w:rPr>
        <w:t xml:space="preserve">По состоянию на 01 октября 2022 года 2744 ребенка посещают </w:t>
      </w:r>
      <w:r>
        <w:rPr>
          <w:rFonts w:ascii="Times New Roman" w:eastAsia="Lucida Sans Unicode" w:hAnsi="Times New Roman" w:cs="Tahoma"/>
          <w:b/>
          <w:bCs/>
          <w:color w:val="000000"/>
          <w:sz w:val="28"/>
          <w:szCs w:val="28"/>
          <w:lang w:eastAsia="en-US"/>
        </w:rPr>
        <w:t>дошкольные образовательные</w:t>
      </w:r>
      <w:r>
        <w:rPr>
          <w:rFonts w:ascii="Times New Roman" w:eastAsia="Lucida Sans Unicode" w:hAnsi="Times New Roman" w:cs="Tahoma"/>
          <w:color w:val="000000"/>
          <w:sz w:val="28"/>
          <w:szCs w:val="28"/>
          <w:lang w:eastAsia="en-US"/>
        </w:rPr>
        <w:t xml:space="preserve"> организации. На учете для определения в дошкольные образовательные организации состоит 102 ребенка в возрасте от 0 до 3 лет.</w:t>
      </w:r>
    </w:p>
    <w:p w14:paraId="740A5974" w14:textId="77777777" w:rsidR="0044268C" w:rsidRDefault="00000000">
      <w:pPr>
        <w:widowControl w:val="0"/>
        <w:spacing w:after="0" w:line="240" w:lineRule="auto"/>
        <w:ind w:firstLine="708"/>
        <w:jc w:val="both"/>
      </w:pPr>
      <w:r>
        <w:rPr>
          <w:rFonts w:ascii="Times New Roman" w:eastAsia="Lucida Sans Unicode" w:hAnsi="Times New Roman" w:cs="Tahoma"/>
          <w:color w:val="000000"/>
          <w:sz w:val="28"/>
          <w:szCs w:val="28"/>
          <w:lang w:eastAsia="en-US"/>
        </w:rPr>
        <w:t xml:space="preserve">На 01 октября 2022 года </w:t>
      </w:r>
      <w:r>
        <w:rPr>
          <w:rFonts w:ascii="Times New Roman" w:eastAsia="Lucida Sans Unicode" w:hAnsi="Times New Roman" w:cs="Tahoma"/>
          <w:b/>
          <w:bCs/>
          <w:color w:val="000000"/>
          <w:sz w:val="28"/>
          <w:szCs w:val="28"/>
          <w:lang w:eastAsia="en-US"/>
        </w:rPr>
        <w:t>в общеобразовательных организациях</w:t>
      </w:r>
      <w:r>
        <w:rPr>
          <w:rFonts w:ascii="Times New Roman" w:eastAsia="Lucida Sans Unicode" w:hAnsi="Times New Roman" w:cs="Tahoma"/>
          <w:color w:val="000000"/>
          <w:sz w:val="28"/>
          <w:szCs w:val="28"/>
          <w:lang w:eastAsia="en-US"/>
        </w:rPr>
        <w:t xml:space="preserve"> округа обучалось 6635 учащихся, </w:t>
      </w:r>
      <w:r>
        <w:rPr>
          <w:rFonts w:ascii="Times New Roman CYR" w:eastAsia="Lucida Sans Unicode" w:hAnsi="Times New Roman CYR" w:cs="Times New Roman CYR"/>
          <w:color w:val="000000"/>
          <w:sz w:val="28"/>
          <w:szCs w:val="28"/>
          <w:lang w:eastAsia="en-US"/>
        </w:rPr>
        <w:t>из них 9 получают общее образование вне образовательной организации в семейной форме</w:t>
      </w:r>
      <w:r>
        <w:rPr>
          <w:rFonts w:ascii="Times New Roman" w:eastAsia="Lucida Sans Unicode" w:hAnsi="Times New Roman" w:cs="Tahoma"/>
          <w:color w:val="000000"/>
          <w:sz w:val="28"/>
          <w:szCs w:val="28"/>
          <w:lang w:eastAsia="en-US"/>
        </w:rPr>
        <w:t>. В г</w:t>
      </w:r>
      <w:r>
        <w:rPr>
          <w:rStyle w:val="a8"/>
          <w:rFonts w:ascii="Times New Roman" w:eastAsia="Lucida Sans Unicode" w:hAnsi="Times New Roman" w:cs="Tahoma"/>
          <w:i w:val="0"/>
          <w:iCs w:val="0"/>
          <w:color w:val="000000"/>
          <w:sz w:val="28"/>
          <w:szCs w:val="28"/>
          <w:lang w:eastAsia="en-US"/>
        </w:rPr>
        <w:t>осударственной итоговой аттестации</w:t>
      </w:r>
      <w:r>
        <w:rPr>
          <w:rFonts w:ascii="Times New Roman" w:eastAsia="Lucida Sans Unicode" w:hAnsi="Times New Roman" w:cs="Tahoma"/>
          <w:color w:val="000000"/>
          <w:sz w:val="28"/>
          <w:szCs w:val="28"/>
          <w:lang w:eastAsia="en-US"/>
        </w:rPr>
        <w:t xml:space="preserve"> по образовательным программам среднего общего образования</w:t>
      </w:r>
      <w:r>
        <w:rPr>
          <w:rFonts w:ascii="Times New Roman" w:eastAsia="Times New Roman" w:hAnsi="Times New Roman" w:cs="Times New Roman"/>
          <w:color w:val="000000"/>
          <w:sz w:val="28"/>
          <w:szCs w:val="28"/>
        </w:rPr>
        <w:t xml:space="preserve"> в 2022 году приняли участие 225 обучающихся одиннадцатых классов</w:t>
      </w:r>
      <w:r>
        <w:rPr>
          <w:rFonts w:ascii="Times New Roman" w:eastAsia="Lucida Sans Unicode" w:hAnsi="Times New Roman" w:cs="Tahoma"/>
          <w:color w:val="000000"/>
          <w:sz w:val="28"/>
          <w:szCs w:val="28"/>
          <w:lang w:eastAsia="en-US"/>
        </w:rPr>
        <w:t xml:space="preserve">, по результатам аттестат о среднем общем образовании получил 221 выпускник. Успешно сдали основной государственный экзамен и получили аттестат об основном общем образовании 100% девятиклассников округа (582 человека). </w:t>
      </w:r>
    </w:p>
    <w:p w14:paraId="4C16B1B9" w14:textId="64718009" w:rsidR="0044268C" w:rsidRDefault="00000000">
      <w:pPr>
        <w:widowControl w:val="0"/>
        <w:spacing w:after="0" w:line="240" w:lineRule="auto"/>
        <w:ind w:firstLine="737"/>
        <w:jc w:val="both"/>
      </w:pPr>
      <w:r>
        <w:rPr>
          <w:rFonts w:ascii="Times New Roman" w:eastAsia="Lucida Sans Unicode" w:hAnsi="Times New Roman" w:cs="Times New Roman"/>
          <w:color w:val="000000"/>
          <w:sz w:val="28"/>
          <w:szCs w:val="28"/>
          <w:lang w:eastAsia="en-US"/>
        </w:rPr>
        <w:t xml:space="preserve">В округе продолжается работа по созданию комфортных современных условий для обучения, развития инфраструктуры и улучшению санитарного состояния. Так </w:t>
      </w:r>
      <w:r>
        <w:rPr>
          <w:rFonts w:ascii="Times New Roman" w:eastAsia="Lucida Sans Unicode" w:hAnsi="Times New Roman" w:cs="Times New Roman"/>
          <w:color w:val="000000"/>
          <w:sz w:val="28"/>
          <w:szCs w:val="28"/>
          <w:lang w:eastAsia="en-US" w:bidi="en-US"/>
        </w:rPr>
        <w:t>в МКОУ СОШ № 15 п. Прикалаусский ведутся</w:t>
      </w:r>
      <w:r>
        <w:rPr>
          <w:rFonts w:ascii="Times New Roman" w:eastAsia="Lucida Sans Unicode" w:hAnsi="Times New Roman" w:cs="Times New Roman"/>
          <w:color w:val="000000"/>
          <w:sz w:val="28"/>
          <w:szCs w:val="28"/>
          <w:lang w:eastAsia="en-US"/>
        </w:rPr>
        <w:t xml:space="preserve"> работы по ремонту фасада здания</w:t>
      </w:r>
      <w:r>
        <w:rPr>
          <w:rFonts w:ascii="Times New Roman" w:eastAsia="Lucida Sans Unicode" w:hAnsi="Times New Roman" w:cs="Times New Roman"/>
          <w:color w:val="000000"/>
          <w:sz w:val="28"/>
          <w:szCs w:val="28"/>
          <w:lang w:eastAsia="en-US" w:bidi="en-US"/>
        </w:rPr>
        <w:t xml:space="preserve">, в МКОУ СОШ № 5 г. Светлограда </w:t>
      </w:r>
      <w:r w:rsidR="00054E84">
        <w:rPr>
          <w:rFonts w:ascii="Times New Roman" w:eastAsia="Lucida Sans Unicode" w:hAnsi="Times New Roman" w:cs="Times New Roman"/>
          <w:color w:val="000000"/>
          <w:sz w:val="28"/>
          <w:szCs w:val="28"/>
          <w:lang w:eastAsia="en-US" w:bidi="en-US"/>
        </w:rPr>
        <w:t xml:space="preserve">продолжается </w:t>
      </w:r>
      <w:r>
        <w:rPr>
          <w:rFonts w:ascii="Times New Roman" w:eastAsia="Lucida Sans Unicode" w:hAnsi="Times New Roman" w:cs="Times New Roman"/>
          <w:color w:val="000000"/>
          <w:sz w:val="28"/>
          <w:szCs w:val="28"/>
          <w:lang w:eastAsia="en-US" w:bidi="en-US"/>
        </w:rPr>
        <w:t xml:space="preserve">строительство спортзала, мастерской и спортивной площадки. </w:t>
      </w:r>
      <w:r>
        <w:rPr>
          <w:rFonts w:ascii="Times New Roman" w:eastAsia="Lucida Sans Unicode" w:hAnsi="Times New Roman" w:cs="Times New Roman"/>
          <w:color w:val="000000"/>
          <w:sz w:val="28"/>
          <w:szCs w:val="28"/>
          <w:lang w:eastAsia="zh-CN"/>
        </w:rPr>
        <w:t xml:space="preserve"> </w:t>
      </w:r>
    </w:p>
    <w:p w14:paraId="1DACE658" w14:textId="77777777" w:rsidR="0044268C" w:rsidRDefault="00000000">
      <w:pPr>
        <w:widowControl w:val="0"/>
        <w:spacing w:after="0" w:line="240" w:lineRule="auto"/>
        <w:ind w:firstLine="709"/>
        <w:jc w:val="both"/>
      </w:pPr>
      <w:r>
        <w:rPr>
          <w:rFonts w:ascii="Times New Roman" w:eastAsia="Calibri" w:hAnsi="Times New Roman" w:cs="Times New Roman"/>
          <w:color w:val="000000"/>
          <w:sz w:val="28"/>
          <w:szCs w:val="28"/>
          <w:lang w:eastAsia="en-US"/>
        </w:rPr>
        <w:t xml:space="preserve">Образовательные организации округа принимают участие в реализации региональных проектов </w:t>
      </w:r>
      <w:r>
        <w:rPr>
          <w:rFonts w:ascii="Times New Roman" w:eastAsia="Lucida Sans Unicode" w:hAnsi="Times New Roman" w:cs="Times New Roman"/>
          <w:color w:val="000000"/>
          <w:sz w:val="28"/>
          <w:szCs w:val="28"/>
          <w:lang w:eastAsia="ar-SA"/>
        </w:rPr>
        <w:t>Ставропольского края (далее — региональный проект)</w:t>
      </w:r>
      <w:r>
        <w:rPr>
          <w:rFonts w:ascii="Times New Roman" w:eastAsia="Calibri" w:hAnsi="Times New Roman" w:cs="Times New Roman"/>
          <w:color w:val="000000"/>
          <w:sz w:val="28"/>
          <w:szCs w:val="28"/>
          <w:lang w:eastAsia="en-US"/>
        </w:rPr>
        <w:t xml:space="preserve">. Так в рамках регионального проекта «Современная школа» национального проекта «Образование» в округе функционируют четыре Центра образования цифрового и гуманитарного профилей «Точка роста» (далее - Центр) в МКОУ СОШ № 6 им. Г.В. Батищева с. Гофицкое, МКОУ СОШ № 8 с. Благодатное, МКОУ СОШ № 2 </w:t>
      </w:r>
      <w:r>
        <w:rPr>
          <w:rFonts w:ascii="Times New Roman" w:eastAsia="Lucida Sans Unicode" w:hAnsi="Times New Roman" w:cs="Times New Roman"/>
          <w:color w:val="000000"/>
          <w:sz w:val="28"/>
          <w:szCs w:val="28"/>
          <w:lang w:eastAsia="en-US" w:bidi="en-US"/>
        </w:rPr>
        <w:t>г. Светлограда</w:t>
      </w:r>
      <w:r>
        <w:rPr>
          <w:rFonts w:ascii="Times New Roman" w:eastAsia="Calibri" w:hAnsi="Times New Roman" w:cs="Times New Roman"/>
          <w:color w:val="000000"/>
          <w:sz w:val="28"/>
          <w:szCs w:val="28"/>
          <w:lang w:eastAsia="en-US"/>
        </w:rPr>
        <w:t xml:space="preserve">, МКОУ СОШ № 17 с. Сухая Буйвола и два Центра образования естественнонаучной и технологической направленности в </w:t>
      </w:r>
      <w:r>
        <w:rPr>
          <w:rFonts w:ascii="Times New Roman" w:eastAsia="Calibri" w:hAnsi="Times New Roman" w:cs="Times New Roman"/>
          <w:color w:val="000000"/>
          <w:sz w:val="28"/>
          <w:szCs w:val="28"/>
          <w:lang w:eastAsia="en-US" w:bidi="en-US"/>
        </w:rPr>
        <w:t>МКОУ СОШ №</w:t>
      </w:r>
      <w:r>
        <w:rPr>
          <w:rFonts w:ascii="Times New Roman" w:eastAsia="Calibri" w:hAnsi="Times New Roman" w:cs="Times New Roman"/>
          <w:color w:val="000000"/>
          <w:sz w:val="28"/>
          <w:szCs w:val="28"/>
          <w:lang w:eastAsia="en-US"/>
        </w:rPr>
        <w:t xml:space="preserve"> 18 с. Шангала и </w:t>
      </w:r>
      <w:r>
        <w:rPr>
          <w:rFonts w:ascii="Times New Roman" w:eastAsia="Calibri" w:hAnsi="Times New Roman" w:cs="Times New Roman"/>
          <w:color w:val="000000"/>
          <w:sz w:val="28"/>
          <w:szCs w:val="28"/>
          <w:lang w:eastAsia="en-US" w:bidi="en-US"/>
        </w:rPr>
        <w:t xml:space="preserve">МКОУ СОШ № 10 с. Донская Балка. В Центрах проводятся мероприятия для обучающихся, направленные на формирование у школьников цифровых и </w:t>
      </w:r>
      <w:r>
        <w:rPr>
          <w:rFonts w:ascii="Times New Roman" w:eastAsia="Calibri" w:hAnsi="Times New Roman" w:cs="Times New Roman"/>
          <w:color w:val="000000"/>
          <w:sz w:val="28"/>
          <w:szCs w:val="28"/>
          <w:lang w:eastAsia="en-US" w:bidi="en-US"/>
        </w:rPr>
        <w:lastRenderedPageBreak/>
        <w:t>гуманитарных компетенций, навыков работы с информацией в цифровом мире, умений работать в коллективе.</w:t>
      </w:r>
      <w:r>
        <w:rPr>
          <w:rFonts w:ascii="Times New Roman" w:eastAsia="Calibri" w:hAnsi="Times New Roman" w:cs="Times New Roman"/>
          <w:color w:val="000000"/>
          <w:sz w:val="28"/>
          <w:szCs w:val="28"/>
          <w:lang w:eastAsia="en-US"/>
        </w:rPr>
        <w:t xml:space="preserve"> </w:t>
      </w:r>
    </w:p>
    <w:p w14:paraId="0D0D732C" w14:textId="0408083B" w:rsidR="0044268C" w:rsidRDefault="00000000">
      <w:pPr>
        <w:widowControl w:val="0"/>
        <w:spacing w:after="0" w:line="240" w:lineRule="auto"/>
        <w:ind w:firstLine="737"/>
        <w:jc w:val="both"/>
      </w:pPr>
      <w:r>
        <w:rPr>
          <w:rFonts w:ascii="Times New Roman" w:eastAsia="Lucida Sans Unicode" w:hAnsi="Times New Roman" w:cs="Times New Roman"/>
          <w:color w:val="000000"/>
          <w:sz w:val="28"/>
          <w:szCs w:val="28"/>
        </w:rPr>
        <w:t>В рамках регионального проекта «Цифровая образовательная среда» в отчетном периоде обеспечен доступ 3216 обучающихся и 196 педагогических работников к цифровой образовательной инфраструктуре в МБОУГ №1 г. Светлограда, МБОУЛ №3 г. Светлограда, МБОУ СОШ №4 г. Светлограда и  МКОУ СОШ №12 с. Николина Балка. Оборудование мобильн</w:t>
      </w:r>
      <w:r w:rsidR="00F1375A">
        <w:rPr>
          <w:rFonts w:ascii="Times New Roman" w:eastAsia="Lucida Sans Unicode" w:hAnsi="Times New Roman" w:cs="Times New Roman"/>
          <w:color w:val="000000"/>
          <w:sz w:val="28"/>
          <w:szCs w:val="28"/>
        </w:rPr>
        <w:t>ых</w:t>
      </w:r>
      <w:r>
        <w:rPr>
          <w:rFonts w:ascii="Times New Roman" w:eastAsia="Lucida Sans Unicode" w:hAnsi="Times New Roman" w:cs="Times New Roman"/>
          <w:color w:val="000000"/>
          <w:sz w:val="28"/>
          <w:szCs w:val="28"/>
        </w:rPr>
        <w:t xml:space="preserve"> класс</w:t>
      </w:r>
      <w:r w:rsidR="00F1375A">
        <w:rPr>
          <w:rFonts w:ascii="Times New Roman" w:eastAsia="Lucida Sans Unicode" w:hAnsi="Times New Roman" w:cs="Times New Roman"/>
          <w:color w:val="000000"/>
          <w:sz w:val="28"/>
          <w:szCs w:val="28"/>
        </w:rPr>
        <w:t>ов</w:t>
      </w:r>
      <w:r>
        <w:rPr>
          <w:rFonts w:ascii="Times New Roman" w:eastAsia="Lucida Sans Unicode" w:hAnsi="Times New Roman" w:cs="Times New Roman"/>
          <w:color w:val="000000"/>
          <w:sz w:val="28"/>
          <w:szCs w:val="28"/>
        </w:rPr>
        <w:t xml:space="preserve"> информатики используется для проведения уроков информатики и внеурочной деятельности. Организован обмен информацией по локальной сети среди педагогических работников школ.</w:t>
      </w:r>
    </w:p>
    <w:p w14:paraId="5808111C" w14:textId="77777777" w:rsidR="0044268C" w:rsidRDefault="00000000">
      <w:pPr>
        <w:widowControl w:val="0"/>
        <w:spacing w:after="0" w:line="240" w:lineRule="auto"/>
        <w:ind w:firstLine="737"/>
        <w:jc w:val="both"/>
      </w:pPr>
      <w:r>
        <w:rPr>
          <w:rFonts w:ascii="Times New Roman" w:eastAsia="Lucida Sans Unicode" w:hAnsi="Times New Roman" w:cs="Times New Roman"/>
          <w:color w:val="000000"/>
          <w:sz w:val="28"/>
          <w:szCs w:val="28"/>
          <w:lang w:eastAsia="zh-CN" w:bidi="en-US"/>
        </w:rPr>
        <w:t>В рамках регионального проекта Ставропольского края «Успех каждого ребенка»</w:t>
      </w:r>
      <w:r>
        <w:rPr>
          <w:rFonts w:ascii="Times New Roman" w:eastAsia="Lucida Sans Unicode" w:hAnsi="Times New Roman" w:cs="Times New Roman"/>
          <w:color w:val="000000"/>
          <w:sz w:val="28"/>
          <w:szCs w:val="28"/>
          <w:lang w:eastAsia="en-US" w:bidi="en-US"/>
        </w:rPr>
        <w:t xml:space="preserve"> завершены</w:t>
      </w:r>
      <w:r>
        <w:rPr>
          <w:rFonts w:ascii="Times New Roman" w:eastAsia="Lucida Sans Unicode" w:hAnsi="Times New Roman" w:cs="Times New Roman"/>
          <w:color w:val="000000"/>
          <w:sz w:val="28"/>
          <w:szCs w:val="28"/>
          <w:lang w:eastAsia="zh-CN" w:bidi="en-US"/>
        </w:rPr>
        <w:t xml:space="preserve"> </w:t>
      </w:r>
      <w:r>
        <w:rPr>
          <w:rFonts w:ascii="Times New Roman" w:eastAsia="Lucida Sans Unicode" w:hAnsi="Times New Roman" w:cs="Times New Roman"/>
          <w:color w:val="000000"/>
          <w:sz w:val="28"/>
          <w:szCs w:val="28"/>
          <w:lang w:eastAsia="zh-CN"/>
        </w:rPr>
        <w:t>работы по ремонту спортивного зала в МКОУ СОШ № 17 с. Сухая Буйвола.</w:t>
      </w:r>
    </w:p>
    <w:p w14:paraId="48854CDE" w14:textId="77777777" w:rsidR="0044268C" w:rsidRDefault="00000000">
      <w:pPr>
        <w:widowControl w:val="0"/>
        <w:spacing w:after="0" w:line="240" w:lineRule="auto"/>
        <w:ind w:firstLine="708"/>
        <w:jc w:val="both"/>
      </w:pPr>
      <w:r>
        <w:rPr>
          <w:rFonts w:ascii="Times New Roman" w:eastAsia="Lucida Sans Unicode" w:hAnsi="Times New Roman" w:cs="Tahoma"/>
          <w:color w:val="000000"/>
          <w:sz w:val="28"/>
          <w:szCs w:val="28"/>
        </w:rPr>
        <w:t xml:space="preserve">На базе общеобразовательных школ и учреждений дополнительного образования действовали 20 лагерей, в которых был организован отдых 1503 детей. В работе ученических бригад и трудовых объединений, прохождении летней практики были заняты 2493 учащихся. Во взаимодействии с ГКУ «Центр занятости Петровского района» трудоустроены 130 школьников. </w:t>
      </w:r>
    </w:p>
    <w:p w14:paraId="3CE2B77E" w14:textId="77777777" w:rsidR="0044268C" w:rsidRDefault="00000000">
      <w:pPr>
        <w:widowControl w:val="0"/>
        <w:spacing w:after="0" w:line="240" w:lineRule="auto"/>
        <w:ind w:firstLine="709"/>
        <w:jc w:val="both"/>
      </w:pPr>
      <w:r>
        <w:rPr>
          <w:rFonts w:ascii="Times New Roman" w:eastAsia="Lucida Sans Unicode" w:hAnsi="Times New Roman" w:cs="Tahoma"/>
          <w:sz w:val="28"/>
          <w:szCs w:val="28"/>
        </w:rPr>
        <w:t xml:space="preserve">Охват </w:t>
      </w:r>
      <w:r>
        <w:rPr>
          <w:rFonts w:ascii="Times New Roman" w:eastAsia="Lucida Sans Unicode" w:hAnsi="Times New Roman" w:cs="Tahoma"/>
          <w:b/>
          <w:sz w:val="28"/>
          <w:szCs w:val="28"/>
        </w:rPr>
        <w:t>молодежи</w:t>
      </w:r>
      <w:r>
        <w:rPr>
          <w:rFonts w:ascii="Times New Roman" w:eastAsia="Lucida Sans Unicode" w:hAnsi="Times New Roman" w:cs="Tahoma"/>
          <w:sz w:val="28"/>
          <w:szCs w:val="28"/>
        </w:rPr>
        <w:t xml:space="preserve"> массовыми мероприятиями на территории округа по итогам 9 месяцев 2022 года составил 68%. Молодежные делегации округа принимали участие в мероприятиях различного уровня наиболее значимыми из них были участие в XXX краевом фестивале «Студенческая весна Ставрополья», в очном этапе XVII открытого межрегионального фестиваля-конкурса детских и молодежных СМИ «На 45-ой параллели», в I смене Всероссийского молодежного форума «Машук — 2022», в XI Школе актива учащейся молодежи Ставропольского края «Достижения» и в I Всероссийском творческом фестивале работающей молодежи «На высоте»</w:t>
      </w:r>
      <w:r>
        <w:rPr>
          <w:rFonts w:ascii="Times New Roman" w:eastAsia="Times New Roman" w:hAnsi="Times New Roman" w:cs="Tahoma"/>
          <w:sz w:val="28"/>
          <w:szCs w:val="28"/>
        </w:rPr>
        <w:t>.</w:t>
      </w:r>
    </w:p>
    <w:p w14:paraId="60A62441" w14:textId="77777777" w:rsidR="0044268C" w:rsidRDefault="00000000">
      <w:pPr>
        <w:widowControl w:val="0"/>
        <w:spacing w:after="0" w:line="240" w:lineRule="auto"/>
        <w:ind w:firstLine="709"/>
        <w:jc w:val="both"/>
      </w:pPr>
      <w:r>
        <w:rPr>
          <w:rFonts w:ascii="Times New Roman" w:eastAsia="Lucida Sans Unicode" w:hAnsi="Times New Roman" w:cs="Tahoma"/>
          <w:sz w:val="28"/>
          <w:szCs w:val="28"/>
        </w:rPr>
        <w:t xml:space="preserve">В отчетном периоде проведено </w:t>
      </w:r>
      <w:r>
        <w:rPr>
          <w:rFonts w:ascii="Times New Roman" w:eastAsia="Lucida Sans Unicode" w:hAnsi="Times New Roman" w:cs="Tahoma"/>
          <w:color w:val="000000"/>
          <w:sz w:val="28"/>
          <w:szCs w:val="28"/>
        </w:rPr>
        <w:t>59</w:t>
      </w:r>
      <w:r>
        <w:rPr>
          <w:rFonts w:ascii="Times New Roman" w:eastAsia="Lucida Sans Unicode" w:hAnsi="Times New Roman" w:cs="Tahoma"/>
          <w:sz w:val="28"/>
          <w:szCs w:val="28"/>
        </w:rPr>
        <w:t xml:space="preserve"> </w:t>
      </w:r>
      <w:r>
        <w:rPr>
          <w:rFonts w:ascii="Times New Roman" w:eastAsia="Lucida Sans Unicode" w:hAnsi="Times New Roman" w:cs="Tahoma"/>
          <w:b/>
          <w:bCs/>
          <w:sz w:val="28"/>
          <w:szCs w:val="28"/>
        </w:rPr>
        <w:t>физкультурно-спортивных мероприятия</w:t>
      </w:r>
      <w:r>
        <w:rPr>
          <w:rFonts w:ascii="Times New Roman" w:eastAsia="Lucida Sans Unicode" w:hAnsi="Times New Roman" w:cs="Tahoma"/>
          <w:sz w:val="28"/>
          <w:szCs w:val="28"/>
        </w:rPr>
        <w:t xml:space="preserve">, участие в которых приняли около </w:t>
      </w:r>
      <w:r>
        <w:rPr>
          <w:rFonts w:ascii="Times New Roman" w:eastAsia="Lucida Sans Unicode" w:hAnsi="Times New Roman" w:cs="Tahoma"/>
          <w:color w:val="000000"/>
          <w:sz w:val="28"/>
          <w:szCs w:val="28"/>
        </w:rPr>
        <w:t>4,7</w:t>
      </w:r>
      <w:r>
        <w:rPr>
          <w:rFonts w:ascii="Times New Roman" w:eastAsia="Lucida Sans Unicode" w:hAnsi="Times New Roman" w:cs="Tahoma"/>
          <w:sz w:val="28"/>
          <w:szCs w:val="28"/>
        </w:rPr>
        <w:t xml:space="preserve"> тыс. человек. Спортсмены округа участвовали в </w:t>
      </w:r>
      <w:r>
        <w:rPr>
          <w:rFonts w:ascii="Times New Roman" w:eastAsia="Lucida Sans Unicode" w:hAnsi="Times New Roman" w:cs="Tahoma"/>
          <w:color w:val="000000"/>
          <w:sz w:val="28"/>
          <w:szCs w:val="28"/>
        </w:rPr>
        <w:t>5</w:t>
      </w:r>
      <w:r>
        <w:rPr>
          <w:rFonts w:ascii="Times New Roman" w:eastAsia="Lucida Sans Unicode" w:hAnsi="Times New Roman" w:cs="Tahoma"/>
          <w:sz w:val="28"/>
          <w:szCs w:val="28"/>
        </w:rPr>
        <w:t xml:space="preserve"> межрайонных, 12 региональных, </w:t>
      </w:r>
      <w:r>
        <w:rPr>
          <w:rFonts w:ascii="Times New Roman" w:eastAsia="Lucida Sans Unicode" w:hAnsi="Times New Roman" w:cs="Tahoma"/>
          <w:color w:val="000000"/>
          <w:sz w:val="28"/>
          <w:szCs w:val="28"/>
        </w:rPr>
        <w:t>7</w:t>
      </w:r>
      <w:r>
        <w:rPr>
          <w:rFonts w:ascii="Times New Roman" w:eastAsia="Lucida Sans Unicode" w:hAnsi="Times New Roman" w:cs="Tahoma"/>
          <w:sz w:val="28"/>
          <w:szCs w:val="28"/>
        </w:rPr>
        <w:t xml:space="preserve"> межрегиональных соревнованиях и в </w:t>
      </w:r>
      <w:r>
        <w:rPr>
          <w:rFonts w:ascii="Times New Roman" w:eastAsia="Lucida Sans Unicode" w:hAnsi="Times New Roman" w:cs="Tahoma"/>
          <w:color w:val="000000"/>
          <w:sz w:val="28"/>
          <w:szCs w:val="28"/>
        </w:rPr>
        <w:t>5</w:t>
      </w:r>
      <w:r>
        <w:rPr>
          <w:rFonts w:ascii="Times New Roman" w:eastAsia="Lucida Sans Unicode" w:hAnsi="Times New Roman" w:cs="Tahoma"/>
          <w:sz w:val="28"/>
          <w:szCs w:val="28"/>
        </w:rPr>
        <w:t xml:space="preserve"> Всероссийских соревнованиях.</w:t>
      </w:r>
    </w:p>
    <w:p w14:paraId="60C9B664" w14:textId="5D4941E2" w:rsidR="0044268C" w:rsidRDefault="00F1375A">
      <w:pPr>
        <w:tabs>
          <w:tab w:val="left" w:pos="0"/>
        </w:tabs>
        <w:spacing w:after="0" w:line="240" w:lineRule="auto"/>
        <w:ind w:firstLine="709"/>
        <w:jc w:val="both"/>
        <w:rPr>
          <w:shd w:val="clear" w:color="auto" w:fill="FFFF00"/>
        </w:rPr>
      </w:pPr>
      <w:r>
        <w:rPr>
          <w:rFonts w:ascii="Times New Roman" w:hAnsi="Times New Roman"/>
          <w:color w:val="000000"/>
          <w:sz w:val="28"/>
          <w:szCs w:val="28"/>
          <w:lang w:eastAsia="ar-SA"/>
        </w:rPr>
        <w:t xml:space="preserve">За 9 месяцев отчетного года Домами культуры округа проведено 3033 </w:t>
      </w:r>
      <w:r>
        <w:rPr>
          <w:rFonts w:ascii="Times New Roman" w:hAnsi="Times New Roman"/>
          <w:b/>
          <w:bCs/>
          <w:color w:val="000000"/>
          <w:sz w:val="28"/>
          <w:szCs w:val="28"/>
          <w:lang w:eastAsia="ar-SA"/>
        </w:rPr>
        <w:t>культурных мероприятия</w:t>
      </w:r>
      <w:r>
        <w:rPr>
          <w:rFonts w:ascii="Times New Roman" w:hAnsi="Times New Roman"/>
          <w:color w:val="000000"/>
          <w:sz w:val="28"/>
          <w:szCs w:val="28"/>
          <w:lang w:eastAsia="ar-SA"/>
        </w:rPr>
        <w:t xml:space="preserve"> и программы различных форм направленности, которые посетили около 305,8 тыс. человек. Муниципальные музеи МКУК «Гофицкий историко-краеведческий музей им. Ю.И.Бельгарова» и МКУК «Народный музей села Сухая Буйвола» посетили около 3,6 тыс. человек. </w:t>
      </w:r>
      <w:r>
        <w:rPr>
          <w:rFonts w:ascii="Times New Roman" w:eastAsia="Lucida Sans Unicode" w:hAnsi="Times New Roman" w:cs="Times New Roman"/>
          <w:color w:val="000000"/>
          <w:sz w:val="28"/>
          <w:szCs w:val="28"/>
          <w:lang w:eastAsia="ar-SA"/>
        </w:rPr>
        <w:t>Библиотеками округа проведено 791 мероприятие, в которых приняли участие 32,1 тыс. человек.</w:t>
      </w:r>
    </w:p>
    <w:p w14:paraId="3566FFEF" w14:textId="5E716FEA" w:rsidR="0044268C" w:rsidRDefault="00000000">
      <w:pPr>
        <w:tabs>
          <w:tab w:val="left" w:pos="0"/>
        </w:tabs>
        <w:spacing w:after="0" w:line="240" w:lineRule="auto"/>
        <w:ind w:firstLine="708"/>
        <w:jc w:val="both"/>
        <w:rPr>
          <w:shd w:val="clear" w:color="auto" w:fill="FFFF00"/>
        </w:rPr>
      </w:pPr>
      <w:r>
        <w:rPr>
          <w:rFonts w:ascii="Times New Roman" w:eastAsia="Lucida Sans Unicode" w:hAnsi="Times New Roman" w:cs="Times New Roman"/>
          <w:color w:val="000000"/>
          <w:sz w:val="28"/>
          <w:szCs w:val="28"/>
          <w:lang w:eastAsia="ar-SA"/>
        </w:rPr>
        <w:t xml:space="preserve">В рамках реализации регионального проекта «Культурная среда» выполнен капитальный ремонт здания МКУК «Гофицкий историко-краеведческий музей им. Ю.И.Бельгарова», и продолжаются работы по капитальному ремонту здания МКУК ДО «Светлоградская районная детская музыкальная школа». Осуществлено техническое оснащение МКУК «Гофицкий историко-краеведческий музей им. Ю.И.Бельгарова» и МКУК «Народный музей села Сухая Буйвола», приобретены музыкальные </w:t>
      </w:r>
      <w:r>
        <w:rPr>
          <w:rFonts w:ascii="Times New Roman" w:eastAsia="Lucida Sans Unicode" w:hAnsi="Times New Roman" w:cs="Times New Roman"/>
          <w:color w:val="000000"/>
          <w:sz w:val="28"/>
          <w:szCs w:val="28"/>
          <w:lang w:eastAsia="ar-SA"/>
        </w:rPr>
        <w:lastRenderedPageBreak/>
        <w:t>инструменты, оборудование и материалы для МКУК ДО «Светлоградская районная детская музыкальная школа». В рамках реализации регионального проекта «Творческие люди» улучшена материально-техническая база МКУК «ДК с.Шангала», а также выплачены денежные поощрения трем работникам культуры, муниципальных учреждений культуры, находящихся в сельской местности.</w:t>
      </w:r>
    </w:p>
    <w:p w14:paraId="4B7532FD" w14:textId="77777777" w:rsidR="0044268C" w:rsidRDefault="00000000">
      <w:pPr>
        <w:widowControl w:val="0"/>
        <w:spacing w:after="0" w:line="240" w:lineRule="auto"/>
        <w:ind w:firstLine="709"/>
        <w:jc w:val="both"/>
      </w:pPr>
      <w:r>
        <w:rPr>
          <w:rFonts w:ascii="Times New Roman" w:eastAsia="Calibri" w:hAnsi="Times New Roman" w:cs="Times New Roman"/>
          <w:color w:val="000000"/>
          <w:sz w:val="28"/>
          <w:szCs w:val="28"/>
        </w:rPr>
        <w:t>За январь - август 2022 года</w:t>
      </w:r>
      <w:r>
        <w:rPr>
          <w:rFonts w:ascii="Times New Roman" w:eastAsia="Calibri" w:hAnsi="Times New Roman" w:cs="Times New Roman"/>
          <w:b/>
          <w:color w:val="000000"/>
          <w:sz w:val="28"/>
          <w:szCs w:val="28"/>
        </w:rPr>
        <w:t xml:space="preserve"> среднесписочная численность </w:t>
      </w:r>
      <w:r>
        <w:rPr>
          <w:rFonts w:ascii="Times New Roman" w:eastAsia="Calibri" w:hAnsi="Times New Roman" w:cs="Times New Roman"/>
          <w:color w:val="000000"/>
          <w:sz w:val="28"/>
          <w:szCs w:val="28"/>
        </w:rPr>
        <w:t>работников организаций, не относящихся к субъектам МСП, осталась на уровне этого же периода 2021 года и составила 10,3 тыс. человек.</w:t>
      </w:r>
      <w:r>
        <w:rPr>
          <w:rFonts w:ascii="Times New Roman" w:eastAsia="Calibri" w:hAnsi="Times New Roman" w:cs="Times New Roman"/>
          <w:b/>
          <w:color w:val="000000"/>
          <w:sz w:val="28"/>
          <w:szCs w:val="28"/>
        </w:rPr>
        <w:t xml:space="preserve"> </w:t>
      </w:r>
    </w:p>
    <w:p w14:paraId="6A31F278" w14:textId="77777777" w:rsidR="0044268C" w:rsidRDefault="00000000">
      <w:pPr>
        <w:widowControl w:val="0"/>
        <w:tabs>
          <w:tab w:val="left" w:pos="0"/>
        </w:tabs>
        <w:spacing w:after="0" w:line="240" w:lineRule="auto"/>
        <w:ind w:firstLine="709"/>
        <w:jc w:val="both"/>
      </w:pPr>
      <w:r>
        <w:rPr>
          <w:rFonts w:ascii="Times New Roman" w:eastAsia="Times New Roman" w:hAnsi="Times New Roman" w:cs="Times New Roman"/>
          <w:color w:val="000000"/>
          <w:sz w:val="28"/>
          <w:szCs w:val="28"/>
          <w:lang w:eastAsia="ar-SA"/>
        </w:rPr>
        <w:t>По данным ГКУ «ЦЗН Петровского района»</w:t>
      </w:r>
      <w:r>
        <w:rPr>
          <w:rFonts w:ascii="Times New Roman" w:eastAsia="Times New Roman" w:hAnsi="Times New Roman" w:cs="Times New Roman"/>
          <w:b/>
          <w:bCs/>
          <w:color w:val="000000"/>
          <w:sz w:val="28"/>
          <w:szCs w:val="28"/>
          <w:lang w:eastAsia="ar-SA"/>
        </w:rPr>
        <w:t xml:space="preserve"> уровень регистрируемой безработицы </w:t>
      </w:r>
      <w:r>
        <w:rPr>
          <w:rFonts w:ascii="Times New Roman" w:eastAsia="Times New Roman" w:hAnsi="Times New Roman" w:cs="Times New Roman"/>
          <w:color w:val="000000"/>
          <w:sz w:val="28"/>
          <w:szCs w:val="28"/>
          <w:lang w:eastAsia="ar-SA"/>
        </w:rPr>
        <w:t>по состоянию на 28 сентября 2022 года составлял 1,4%. Численность официально зарегистрированных безработных - 449 человек. Потребность в работниках, заявленная работодателями в органы службы занятости населения, 847 человек, коэффициент напряженности на рынке труда составляет 0,53.</w:t>
      </w:r>
    </w:p>
    <w:p w14:paraId="192FC847" w14:textId="77777777" w:rsidR="0044268C" w:rsidRDefault="00000000">
      <w:pPr>
        <w:tabs>
          <w:tab w:val="left" w:pos="0"/>
        </w:tabs>
        <w:spacing w:after="0" w:line="240" w:lineRule="auto"/>
        <w:ind w:firstLine="709"/>
        <w:jc w:val="both"/>
      </w:pPr>
      <w:r>
        <w:rPr>
          <w:rFonts w:ascii="Times New Roman" w:eastAsia="Calibri" w:hAnsi="Times New Roman" w:cs="Times New Roman"/>
          <w:b/>
          <w:color w:val="000000"/>
          <w:sz w:val="28"/>
          <w:szCs w:val="28"/>
        </w:rPr>
        <w:t>Среднемесячная заработная плата</w:t>
      </w:r>
      <w:r>
        <w:rPr>
          <w:rFonts w:ascii="Times New Roman" w:eastAsia="Calibri" w:hAnsi="Times New Roman" w:cs="Times New Roman"/>
          <w:color w:val="000000"/>
          <w:sz w:val="28"/>
          <w:szCs w:val="28"/>
        </w:rPr>
        <w:t xml:space="preserve"> работников списочного состава организаций, не относящихся к субъектам малого и среднего предпринимательства, за январь - август 2022 года увеличилась до              37745,2 рублей при темпе роста 120,8% к показателю аналогичного периода прошлого года.</w:t>
      </w:r>
    </w:p>
    <w:p w14:paraId="592307BC" w14:textId="77777777" w:rsidR="0044268C" w:rsidRDefault="0044268C">
      <w:pPr>
        <w:tabs>
          <w:tab w:val="left" w:pos="0"/>
        </w:tabs>
        <w:spacing w:after="0" w:line="240" w:lineRule="auto"/>
        <w:ind w:firstLine="709"/>
        <w:jc w:val="both"/>
        <w:rPr>
          <w:rFonts w:ascii="Times New Roman" w:hAnsi="Times New Roman"/>
          <w:sz w:val="28"/>
          <w:szCs w:val="28"/>
          <w:shd w:val="clear" w:color="auto" w:fill="FFFF00"/>
        </w:rPr>
      </w:pPr>
    </w:p>
    <w:p w14:paraId="2FEC9D20" w14:textId="77777777" w:rsidR="0044268C" w:rsidRDefault="00000000">
      <w:pPr>
        <w:widowControl w:val="0"/>
        <w:spacing w:after="0" w:line="227" w:lineRule="exact"/>
        <w:jc w:val="center"/>
      </w:pPr>
      <w:r>
        <w:rPr>
          <w:rFonts w:ascii="Times New Roman" w:eastAsia="Calibri" w:hAnsi="Times New Roman" w:cs="Times New Roman"/>
          <w:color w:val="000000"/>
          <w:sz w:val="24"/>
          <w:szCs w:val="24"/>
        </w:rPr>
        <w:t>Среднемесячная заработная плата по основным отраслям экономики</w:t>
      </w:r>
    </w:p>
    <w:p w14:paraId="2354A8B2" w14:textId="77777777" w:rsidR="0044268C" w:rsidRDefault="00000000">
      <w:pPr>
        <w:widowControl w:val="0"/>
        <w:spacing w:after="0" w:line="227" w:lineRule="exact"/>
        <w:jc w:val="center"/>
      </w:pPr>
      <w:r>
        <w:rPr>
          <w:rFonts w:ascii="Times New Roman" w:eastAsia="Calibri" w:hAnsi="Times New Roman" w:cs="Times New Roman"/>
          <w:color w:val="000000"/>
          <w:sz w:val="24"/>
          <w:szCs w:val="24"/>
        </w:rPr>
        <w:t>за январь - август</w:t>
      </w:r>
    </w:p>
    <w:p w14:paraId="01D886DD" w14:textId="77777777" w:rsidR="0044268C" w:rsidRDefault="00000000">
      <w:pPr>
        <w:widowControl w:val="0"/>
        <w:spacing w:after="0" w:line="227" w:lineRule="exact"/>
        <w:ind w:firstLine="708"/>
        <w:jc w:val="center"/>
      </w:pPr>
      <w:r>
        <w:rPr>
          <w:rFonts w:ascii="Times New Roman" w:eastAsia="Calibri" w:hAnsi="Times New Roman" w:cs="Times New Roman"/>
          <w:color w:val="000000"/>
          <w:sz w:val="24"/>
          <w:szCs w:val="24"/>
        </w:rPr>
        <w:t xml:space="preserve">                                                                                    </w:t>
      </w:r>
    </w:p>
    <w:tbl>
      <w:tblPr>
        <w:tblW w:w="9356" w:type="dxa"/>
        <w:tblInd w:w="109" w:type="dxa"/>
        <w:tblLayout w:type="fixed"/>
        <w:tblLook w:val="00A0" w:firstRow="1" w:lastRow="0" w:firstColumn="1" w:lastColumn="0" w:noHBand="0" w:noVBand="0"/>
      </w:tblPr>
      <w:tblGrid>
        <w:gridCol w:w="653"/>
        <w:gridCol w:w="4402"/>
        <w:gridCol w:w="1214"/>
        <w:gridCol w:w="1648"/>
        <w:gridCol w:w="1439"/>
      </w:tblGrid>
      <w:tr w:rsidR="0044268C" w14:paraId="1DDEF269" w14:textId="77777777">
        <w:trPr>
          <w:cantSplit/>
          <w:trHeight w:val="867"/>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BA89B9"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 п/п</w:t>
            </w:r>
          </w:p>
        </w:tc>
        <w:tc>
          <w:tcPr>
            <w:tcW w:w="4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427C51"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Отрасли экономической деятельности</w:t>
            </w:r>
          </w:p>
        </w:tc>
        <w:tc>
          <w:tcPr>
            <w:tcW w:w="2862" w:type="dxa"/>
            <w:gridSpan w:val="2"/>
            <w:tcBorders>
              <w:top w:val="single" w:sz="4" w:space="0" w:color="000000"/>
              <w:left w:val="single" w:sz="4" w:space="0" w:color="000000"/>
              <w:bottom w:val="single" w:sz="4" w:space="0" w:color="000000"/>
            </w:tcBorders>
            <w:shd w:val="clear" w:color="auto" w:fill="auto"/>
          </w:tcPr>
          <w:p w14:paraId="3EA7EE71"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Среднемесячная заработная плата работников списочного состава, рублей</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7335AC"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Темп роста, %</w:t>
            </w:r>
          </w:p>
        </w:tc>
      </w:tr>
      <w:tr w:rsidR="0044268C" w14:paraId="00449C92" w14:textId="77777777">
        <w:trPr>
          <w:cantSplit/>
          <w:trHeight w:val="284"/>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066157" w14:textId="77777777" w:rsidR="0044268C" w:rsidRDefault="0044268C">
            <w:pPr>
              <w:widowControl w:val="0"/>
              <w:spacing w:after="0" w:line="227" w:lineRule="exact"/>
              <w:rPr>
                <w:rFonts w:ascii="Times New Roman" w:eastAsia="Calibri" w:hAnsi="Times New Roman" w:cs="Times New Roman"/>
                <w:color w:val="000000"/>
                <w:sz w:val="24"/>
                <w:szCs w:val="24"/>
                <w:lang w:eastAsia="en-US"/>
              </w:rPr>
            </w:pPr>
          </w:p>
        </w:tc>
        <w:tc>
          <w:tcPr>
            <w:tcW w:w="4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D10D1D" w14:textId="77777777" w:rsidR="0044268C" w:rsidRDefault="0044268C">
            <w:pPr>
              <w:widowControl w:val="0"/>
              <w:spacing w:after="0" w:line="227" w:lineRule="exact"/>
              <w:rPr>
                <w:rFonts w:ascii="Times New Roman" w:eastAsia="Calibri" w:hAnsi="Times New Roman" w:cs="Times New Roman"/>
                <w:color w:val="000000"/>
                <w:sz w:val="24"/>
                <w:szCs w:val="24"/>
                <w:lang w:eastAsia="en-US"/>
              </w:rPr>
            </w:pPr>
          </w:p>
        </w:tc>
        <w:tc>
          <w:tcPr>
            <w:tcW w:w="1214" w:type="dxa"/>
            <w:tcBorders>
              <w:top w:val="single" w:sz="4" w:space="0" w:color="000000"/>
              <w:left w:val="single" w:sz="4" w:space="0" w:color="000000"/>
              <w:bottom w:val="single" w:sz="4" w:space="0" w:color="000000"/>
            </w:tcBorders>
            <w:shd w:val="clear" w:color="auto" w:fill="auto"/>
            <w:vAlign w:val="center"/>
          </w:tcPr>
          <w:p w14:paraId="16F0E874"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2021 год</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27897"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2022 год</w:t>
            </w: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91983" w14:textId="77777777" w:rsidR="0044268C" w:rsidRDefault="0044268C">
            <w:pPr>
              <w:widowControl w:val="0"/>
              <w:spacing w:after="0" w:line="227" w:lineRule="exact"/>
              <w:rPr>
                <w:rFonts w:ascii="Times New Roman" w:eastAsia="Calibri" w:hAnsi="Times New Roman" w:cs="Times New Roman"/>
                <w:color w:val="000000"/>
                <w:sz w:val="24"/>
                <w:szCs w:val="24"/>
                <w:lang w:eastAsia="en-US"/>
              </w:rPr>
            </w:pPr>
          </w:p>
        </w:tc>
      </w:tr>
      <w:tr w:rsidR="0044268C" w14:paraId="756242F0" w14:textId="77777777">
        <w:trPr>
          <w:cantSplit/>
          <w:trHeight w:val="255"/>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48AE" w14:textId="77777777" w:rsidR="0044268C" w:rsidRDefault="00000000">
            <w:pPr>
              <w:widowControl w:val="0"/>
              <w:spacing w:after="0" w:line="227" w:lineRule="exact"/>
              <w:rPr>
                <w:rFonts w:ascii="Times New Roman" w:hAnsi="Times New Roman"/>
                <w:sz w:val="24"/>
                <w:szCs w:val="24"/>
              </w:rPr>
            </w:pPr>
            <w:r>
              <w:rPr>
                <w:rFonts w:ascii="Times New Roman" w:eastAsia="Calibri" w:hAnsi="Times New Roman" w:cs="Times New Roman"/>
                <w:color w:val="000000"/>
                <w:sz w:val="24"/>
                <w:szCs w:val="24"/>
                <w:lang w:eastAsia="en-US"/>
              </w:rPr>
              <w:t>1.</w:t>
            </w:r>
          </w:p>
        </w:tc>
        <w:tc>
          <w:tcPr>
            <w:tcW w:w="4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2B87" w14:textId="77777777" w:rsidR="0044268C" w:rsidRDefault="00000000">
            <w:pPr>
              <w:widowControl w:val="0"/>
              <w:spacing w:after="0" w:line="227" w:lineRule="exact"/>
              <w:jc w:val="both"/>
              <w:rPr>
                <w:rFonts w:ascii="Times New Roman" w:hAnsi="Times New Roman"/>
                <w:sz w:val="24"/>
                <w:szCs w:val="24"/>
              </w:rPr>
            </w:pPr>
            <w:r>
              <w:rPr>
                <w:rFonts w:ascii="Times New Roman" w:eastAsia="Calibri" w:hAnsi="Times New Roman" w:cs="Times New Roman"/>
                <w:color w:val="000000"/>
                <w:sz w:val="24"/>
                <w:szCs w:val="24"/>
                <w:lang w:eastAsia="en-US"/>
              </w:rPr>
              <w:t>Сельское хозяйство</w:t>
            </w:r>
          </w:p>
        </w:tc>
        <w:tc>
          <w:tcPr>
            <w:tcW w:w="1214" w:type="dxa"/>
            <w:tcBorders>
              <w:top w:val="single" w:sz="4" w:space="0" w:color="000000"/>
              <w:left w:val="single" w:sz="4" w:space="0" w:color="000000"/>
              <w:bottom w:val="single" w:sz="4" w:space="0" w:color="000000"/>
            </w:tcBorders>
            <w:shd w:val="clear" w:color="auto" w:fill="auto"/>
            <w:vAlign w:val="center"/>
          </w:tcPr>
          <w:p w14:paraId="314ECCFC"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35568,3</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AAB73"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45835,7</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034B2"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128,9</w:t>
            </w:r>
          </w:p>
        </w:tc>
      </w:tr>
      <w:tr w:rsidR="0044268C" w14:paraId="6C729C07" w14:textId="77777777">
        <w:trPr>
          <w:cantSplit/>
          <w:trHeight w:val="270"/>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EECD1" w14:textId="77777777" w:rsidR="0044268C" w:rsidRDefault="00000000">
            <w:pPr>
              <w:widowControl w:val="0"/>
              <w:spacing w:after="0" w:line="227" w:lineRule="exact"/>
              <w:rPr>
                <w:rFonts w:ascii="Times New Roman" w:hAnsi="Times New Roman"/>
                <w:sz w:val="24"/>
                <w:szCs w:val="24"/>
              </w:rPr>
            </w:pPr>
            <w:r>
              <w:rPr>
                <w:rFonts w:ascii="Times New Roman" w:eastAsia="Calibri" w:hAnsi="Times New Roman" w:cs="Times New Roman"/>
                <w:color w:val="000000"/>
                <w:sz w:val="24"/>
                <w:szCs w:val="24"/>
                <w:lang w:eastAsia="en-US"/>
              </w:rPr>
              <w:t>2.</w:t>
            </w:r>
          </w:p>
        </w:tc>
        <w:tc>
          <w:tcPr>
            <w:tcW w:w="4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030A" w14:textId="77777777" w:rsidR="0044268C" w:rsidRDefault="00000000">
            <w:pPr>
              <w:widowControl w:val="0"/>
              <w:spacing w:after="0" w:line="227" w:lineRule="exact"/>
              <w:jc w:val="both"/>
              <w:rPr>
                <w:rFonts w:ascii="Times New Roman" w:hAnsi="Times New Roman"/>
                <w:sz w:val="24"/>
                <w:szCs w:val="24"/>
              </w:rPr>
            </w:pPr>
            <w:r>
              <w:rPr>
                <w:rFonts w:ascii="Times New Roman" w:eastAsia="Calibri" w:hAnsi="Times New Roman" w:cs="Times New Roman"/>
                <w:color w:val="000000"/>
                <w:sz w:val="24"/>
                <w:szCs w:val="24"/>
                <w:lang w:eastAsia="en-US"/>
              </w:rPr>
              <w:t>Добыча полезных ископаемых</w:t>
            </w:r>
          </w:p>
        </w:tc>
        <w:tc>
          <w:tcPr>
            <w:tcW w:w="1214" w:type="dxa"/>
            <w:tcBorders>
              <w:top w:val="single" w:sz="4" w:space="0" w:color="000000"/>
              <w:left w:val="single" w:sz="4" w:space="0" w:color="000000"/>
              <w:bottom w:val="single" w:sz="4" w:space="0" w:color="000000"/>
            </w:tcBorders>
            <w:shd w:val="clear" w:color="auto" w:fill="auto"/>
            <w:vAlign w:val="center"/>
          </w:tcPr>
          <w:p w14:paraId="0B416CCE"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58396,4</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7C9F7"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69787,6</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BEC3D"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119,5</w:t>
            </w:r>
          </w:p>
        </w:tc>
      </w:tr>
      <w:tr w:rsidR="0044268C" w14:paraId="58FCA333" w14:textId="77777777">
        <w:trPr>
          <w:cantSplit/>
          <w:trHeight w:val="15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89768" w14:textId="77777777" w:rsidR="0044268C" w:rsidRDefault="00000000">
            <w:pPr>
              <w:widowControl w:val="0"/>
              <w:spacing w:after="0" w:line="227" w:lineRule="exact"/>
              <w:rPr>
                <w:rFonts w:ascii="Times New Roman" w:hAnsi="Times New Roman"/>
                <w:sz w:val="24"/>
                <w:szCs w:val="24"/>
              </w:rPr>
            </w:pPr>
            <w:r>
              <w:rPr>
                <w:rFonts w:ascii="Times New Roman" w:eastAsia="Calibri" w:hAnsi="Times New Roman" w:cs="Times New Roman"/>
                <w:color w:val="000000"/>
                <w:sz w:val="24"/>
                <w:szCs w:val="24"/>
                <w:lang w:eastAsia="en-US"/>
              </w:rPr>
              <w:t>3.</w:t>
            </w:r>
          </w:p>
        </w:tc>
        <w:tc>
          <w:tcPr>
            <w:tcW w:w="4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22C3" w14:textId="77777777" w:rsidR="0044268C" w:rsidRDefault="00000000">
            <w:pPr>
              <w:widowControl w:val="0"/>
              <w:spacing w:after="0" w:line="227" w:lineRule="exact"/>
              <w:jc w:val="both"/>
              <w:rPr>
                <w:rFonts w:ascii="Times New Roman" w:hAnsi="Times New Roman"/>
                <w:sz w:val="24"/>
                <w:szCs w:val="24"/>
              </w:rPr>
            </w:pPr>
            <w:r>
              <w:rPr>
                <w:rFonts w:ascii="Times New Roman" w:eastAsia="Calibri" w:hAnsi="Times New Roman" w:cs="Times New Roman"/>
                <w:color w:val="000000"/>
                <w:sz w:val="24"/>
                <w:szCs w:val="24"/>
                <w:lang w:eastAsia="en-US"/>
              </w:rPr>
              <w:t>Обрабатывающие производства</w:t>
            </w:r>
          </w:p>
        </w:tc>
        <w:tc>
          <w:tcPr>
            <w:tcW w:w="1214" w:type="dxa"/>
            <w:tcBorders>
              <w:top w:val="single" w:sz="4" w:space="0" w:color="000000"/>
              <w:left w:val="single" w:sz="4" w:space="0" w:color="000000"/>
              <w:bottom w:val="single" w:sz="4" w:space="0" w:color="000000"/>
            </w:tcBorders>
            <w:shd w:val="clear" w:color="auto" w:fill="auto"/>
            <w:vAlign w:val="center"/>
          </w:tcPr>
          <w:p w14:paraId="3C834C3C"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35509,2</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078E2"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44400,8</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3CD5"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125,0</w:t>
            </w:r>
          </w:p>
        </w:tc>
      </w:tr>
      <w:tr w:rsidR="0044268C" w14:paraId="799995E0" w14:textId="77777777">
        <w:trPr>
          <w:cantSplit/>
          <w:trHeight w:val="15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C3FA" w14:textId="77777777" w:rsidR="0044268C" w:rsidRDefault="00000000">
            <w:pPr>
              <w:widowControl w:val="0"/>
              <w:spacing w:after="0" w:line="227" w:lineRule="exact"/>
              <w:rPr>
                <w:rFonts w:ascii="Times New Roman" w:hAnsi="Times New Roman"/>
                <w:sz w:val="24"/>
                <w:szCs w:val="24"/>
              </w:rPr>
            </w:pPr>
            <w:r>
              <w:rPr>
                <w:rFonts w:ascii="Times New Roman" w:eastAsia="Calibri" w:hAnsi="Times New Roman" w:cs="Times New Roman"/>
                <w:color w:val="000000"/>
                <w:sz w:val="24"/>
                <w:szCs w:val="24"/>
                <w:lang w:eastAsia="en-US"/>
              </w:rPr>
              <w:t>4.</w:t>
            </w:r>
          </w:p>
        </w:tc>
        <w:tc>
          <w:tcPr>
            <w:tcW w:w="4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2F99" w14:textId="77777777" w:rsidR="0044268C" w:rsidRDefault="00000000">
            <w:pPr>
              <w:widowControl w:val="0"/>
              <w:spacing w:after="0" w:line="227" w:lineRule="exact"/>
              <w:jc w:val="both"/>
              <w:rPr>
                <w:rFonts w:ascii="Times New Roman" w:hAnsi="Times New Roman"/>
                <w:sz w:val="24"/>
                <w:szCs w:val="24"/>
              </w:rPr>
            </w:pPr>
            <w:r>
              <w:rPr>
                <w:rFonts w:ascii="Times New Roman" w:eastAsia="Calibri" w:hAnsi="Times New Roman" w:cs="Times New Roman"/>
                <w:color w:val="000000"/>
                <w:sz w:val="24"/>
                <w:szCs w:val="24"/>
                <w:lang w:eastAsia="en-US"/>
              </w:rPr>
              <w:t>Обеспечение электрической энергией, газом и паром</w:t>
            </w:r>
          </w:p>
        </w:tc>
        <w:tc>
          <w:tcPr>
            <w:tcW w:w="1214" w:type="dxa"/>
            <w:tcBorders>
              <w:top w:val="single" w:sz="4" w:space="0" w:color="000000"/>
              <w:left w:val="single" w:sz="4" w:space="0" w:color="000000"/>
              <w:bottom w:val="single" w:sz="4" w:space="0" w:color="000000"/>
            </w:tcBorders>
            <w:shd w:val="clear" w:color="auto" w:fill="auto"/>
            <w:vAlign w:val="center"/>
          </w:tcPr>
          <w:p w14:paraId="4D43026F"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28638,1</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2DEC"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32322,5</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8927"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112,9</w:t>
            </w:r>
          </w:p>
        </w:tc>
      </w:tr>
      <w:tr w:rsidR="0044268C" w14:paraId="0CF7A15B" w14:textId="77777777">
        <w:trPr>
          <w:cantSplit/>
          <w:trHeight w:val="15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7A432" w14:textId="77777777" w:rsidR="0044268C" w:rsidRDefault="00000000">
            <w:pPr>
              <w:widowControl w:val="0"/>
              <w:spacing w:after="0" w:line="227" w:lineRule="exact"/>
              <w:rPr>
                <w:rFonts w:ascii="Times New Roman" w:hAnsi="Times New Roman"/>
                <w:sz w:val="24"/>
                <w:szCs w:val="24"/>
              </w:rPr>
            </w:pPr>
            <w:r>
              <w:rPr>
                <w:rFonts w:ascii="Times New Roman" w:eastAsia="Calibri" w:hAnsi="Times New Roman" w:cs="Times New Roman"/>
                <w:color w:val="000000"/>
                <w:sz w:val="24"/>
                <w:szCs w:val="24"/>
                <w:lang w:eastAsia="en-US"/>
              </w:rPr>
              <w:t>5.</w:t>
            </w:r>
          </w:p>
        </w:tc>
        <w:tc>
          <w:tcPr>
            <w:tcW w:w="4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C257" w14:textId="77777777" w:rsidR="0044268C" w:rsidRDefault="00000000">
            <w:pPr>
              <w:widowControl w:val="0"/>
              <w:spacing w:after="0" w:line="227" w:lineRule="exact"/>
              <w:jc w:val="both"/>
              <w:rPr>
                <w:rFonts w:ascii="Times New Roman" w:hAnsi="Times New Roman"/>
                <w:sz w:val="24"/>
                <w:szCs w:val="24"/>
              </w:rPr>
            </w:pPr>
            <w:r>
              <w:rPr>
                <w:rFonts w:ascii="Times New Roman" w:eastAsia="Calibri" w:hAnsi="Times New Roman" w:cs="Times New Roman"/>
                <w:color w:val="000000"/>
                <w:sz w:val="24"/>
                <w:szCs w:val="24"/>
                <w:lang w:eastAsia="en-US"/>
              </w:rPr>
              <w:t>Водоснабжение, водоотведение, организация сбора и утилизация отходов, деятельность по ликвидации загрязнений</w:t>
            </w:r>
          </w:p>
        </w:tc>
        <w:tc>
          <w:tcPr>
            <w:tcW w:w="1214" w:type="dxa"/>
            <w:tcBorders>
              <w:top w:val="single" w:sz="4" w:space="0" w:color="000000"/>
              <w:left w:val="single" w:sz="4" w:space="0" w:color="000000"/>
              <w:bottom w:val="single" w:sz="4" w:space="0" w:color="000000"/>
            </w:tcBorders>
            <w:shd w:val="clear" w:color="auto" w:fill="auto"/>
            <w:vAlign w:val="center"/>
          </w:tcPr>
          <w:p w14:paraId="06E67BF2"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25388,0</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9B73"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26797,1</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16EE2"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105,6</w:t>
            </w:r>
          </w:p>
        </w:tc>
      </w:tr>
      <w:tr w:rsidR="0044268C" w14:paraId="51EDBAD5" w14:textId="77777777">
        <w:trPr>
          <w:cantSplit/>
          <w:trHeight w:val="161"/>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DDF4" w14:textId="77777777" w:rsidR="0044268C" w:rsidRDefault="00000000">
            <w:pPr>
              <w:widowControl w:val="0"/>
              <w:spacing w:after="0" w:line="227" w:lineRule="exact"/>
              <w:rPr>
                <w:rFonts w:ascii="Times New Roman" w:hAnsi="Times New Roman"/>
                <w:sz w:val="24"/>
                <w:szCs w:val="24"/>
              </w:rPr>
            </w:pPr>
            <w:r>
              <w:rPr>
                <w:rFonts w:ascii="Times New Roman" w:eastAsia="Calibri" w:hAnsi="Times New Roman" w:cs="Times New Roman"/>
                <w:color w:val="000000"/>
                <w:sz w:val="24"/>
                <w:szCs w:val="24"/>
                <w:lang w:eastAsia="en-US"/>
              </w:rPr>
              <w:t>6.</w:t>
            </w:r>
          </w:p>
        </w:tc>
        <w:tc>
          <w:tcPr>
            <w:tcW w:w="4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8E76" w14:textId="77777777" w:rsidR="0044268C" w:rsidRDefault="00000000">
            <w:pPr>
              <w:widowControl w:val="0"/>
              <w:spacing w:after="0" w:line="227" w:lineRule="exact"/>
              <w:jc w:val="both"/>
              <w:rPr>
                <w:rFonts w:ascii="Times New Roman" w:hAnsi="Times New Roman"/>
                <w:sz w:val="24"/>
                <w:szCs w:val="24"/>
              </w:rPr>
            </w:pPr>
            <w:r>
              <w:rPr>
                <w:rFonts w:ascii="Times New Roman" w:eastAsia="Calibri" w:hAnsi="Times New Roman" w:cs="Times New Roman"/>
                <w:color w:val="000000"/>
                <w:sz w:val="24"/>
                <w:szCs w:val="24"/>
                <w:lang w:eastAsia="en-US"/>
              </w:rPr>
              <w:t>Строительство</w:t>
            </w:r>
          </w:p>
        </w:tc>
        <w:tc>
          <w:tcPr>
            <w:tcW w:w="1214" w:type="dxa"/>
            <w:tcBorders>
              <w:top w:val="single" w:sz="4" w:space="0" w:color="000000"/>
              <w:left w:val="single" w:sz="4" w:space="0" w:color="000000"/>
              <w:bottom w:val="single" w:sz="4" w:space="0" w:color="000000"/>
            </w:tcBorders>
            <w:shd w:val="clear" w:color="auto" w:fill="auto"/>
            <w:vAlign w:val="center"/>
          </w:tcPr>
          <w:p w14:paraId="1676473F"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27307,9</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7F176"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33100,0</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710D6"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121,2</w:t>
            </w:r>
          </w:p>
        </w:tc>
      </w:tr>
      <w:tr w:rsidR="0044268C" w14:paraId="360CE841" w14:textId="77777777">
        <w:trPr>
          <w:cantSplit/>
          <w:trHeight w:val="194"/>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5619" w14:textId="77777777" w:rsidR="0044268C" w:rsidRDefault="00000000">
            <w:pPr>
              <w:widowControl w:val="0"/>
              <w:spacing w:after="0" w:line="227" w:lineRule="exact"/>
              <w:rPr>
                <w:rFonts w:ascii="Times New Roman" w:hAnsi="Times New Roman"/>
                <w:sz w:val="24"/>
                <w:szCs w:val="24"/>
              </w:rPr>
            </w:pPr>
            <w:r>
              <w:rPr>
                <w:rFonts w:ascii="Times New Roman" w:eastAsia="Calibri" w:hAnsi="Times New Roman" w:cs="Times New Roman"/>
                <w:color w:val="000000"/>
                <w:sz w:val="24"/>
                <w:szCs w:val="24"/>
                <w:lang w:eastAsia="en-US"/>
              </w:rPr>
              <w:t>7.</w:t>
            </w:r>
          </w:p>
        </w:tc>
        <w:tc>
          <w:tcPr>
            <w:tcW w:w="4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4B2F5" w14:textId="77777777" w:rsidR="0044268C" w:rsidRDefault="00000000">
            <w:pPr>
              <w:widowControl w:val="0"/>
              <w:spacing w:after="0" w:line="227" w:lineRule="exact"/>
              <w:jc w:val="both"/>
              <w:rPr>
                <w:rFonts w:ascii="Times New Roman" w:hAnsi="Times New Roman"/>
                <w:sz w:val="24"/>
                <w:szCs w:val="24"/>
              </w:rPr>
            </w:pPr>
            <w:r>
              <w:rPr>
                <w:rFonts w:ascii="Times New Roman" w:eastAsia="Calibri" w:hAnsi="Times New Roman" w:cs="Times New Roman"/>
                <w:color w:val="000000"/>
                <w:sz w:val="24"/>
                <w:szCs w:val="24"/>
                <w:lang w:eastAsia="en-US"/>
              </w:rPr>
              <w:t>Образование</w:t>
            </w:r>
          </w:p>
        </w:tc>
        <w:tc>
          <w:tcPr>
            <w:tcW w:w="1214" w:type="dxa"/>
            <w:tcBorders>
              <w:top w:val="single" w:sz="4" w:space="0" w:color="000000"/>
              <w:left w:val="single" w:sz="4" w:space="0" w:color="000000"/>
              <w:bottom w:val="single" w:sz="4" w:space="0" w:color="000000"/>
            </w:tcBorders>
            <w:shd w:val="clear" w:color="auto" w:fill="auto"/>
            <w:vAlign w:val="center"/>
          </w:tcPr>
          <w:p w14:paraId="21322B7C"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23233,4</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AFCA8"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25279,2</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6CE2"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108,8</w:t>
            </w:r>
          </w:p>
        </w:tc>
      </w:tr>
      <w:tr w:rsidR="0044268C" w14:paraId="40DA92D6" w14:textId="77777777">
        <w:trPr>
          <w:cantSplit/>
          <w:trHeight w:val="149"/>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CA66" w14:textId="77777777" w:rsidR="0044268C" w:rsidRDefault="00000000">
            <w:pPr>
              <w:widowControl w:val="0"/>
              <w:spacing w:after="0" w:line="227" w:lineRule="exact"/>
              <w:rPr>
                <w:rFonts w:ascii="Times New Roman" w:hAnsi="Times New Roman"/>
                <w:sz w:val="24"/>
                <w:szCs w:val="24"/>
              </w:rPr>
            </w:pPr>
            <w:r>
              <w:rPr>
                <w:rFonts w:ascii="Times New Roman" w:eastAsia="Calibri" w:hAnsi="Times New Roman" w:cs="Times New Roman"/>
                <w:color w:val="000000"/>
                <w:sz w:val="24"/>
                <w:szCs w:val="24"/>
                <w:lang w:eastAsia="en-US"/>
              </w:rPr>
              <w:t>8.</w:t>
            </w:r>
          </w:p>
        </w:tc>
        <w:tc>
          <w:tcPr>
            <w:tcW w:w="4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7B27" w14:textId="77777777" w:rsidR="0044268C" w:rsidRDefault="00000000">
            <w:pPr>
              <w:widowControl w:val="0"/>
              <w:spacing w:after="0" w:line="227" w:lineRule="exact"/>
              <w:jc w:val="both"/>
              <w:rPr>
                <w:rFonts w:ascii="Times New Roman" w:hAnsi="Times New Roman"/>
                <w:sz w:val="24"/>
                <w:szCs w:val="24"/>
              </w:rPr>
            </w:pPr>
            <w:r>
              <w:rPr>
                <w:rFonts w:ascii="Times New Roman" w:eastAsia="Calibri" w:hAnsi="Times New Roman" w:cs="Times New Roman"/>
                <w:color w:val="000000"/>
                <w:sz w:val="24"/>
                <w:szCs w:val="24"/>
                <w:lang w:eastAsia="en-US"/>
              </w:rPr>
              <w:t>Деятельность в области здравоохранения и социальных услуг</w:t>
            </w:r>
          </w:p>
        </w:tc>
        <w:tc>
          <w:tcPr>
            <w:tcW w:w="1214" w:type="dxa"/>
            <w:tcBorders>
              <w:top w:val="single" w:sz="4" w:space="0" w:color="000000"/>
              <w:left w:val="single" w:sz="4" w:space="0" w:color="000000"/>
              <w:bottom w:val="single" w:sz="4" w:space="0" w:color="000000"/>
            </w:tcBorders>
            <w:shd w:val="clear" w:color="auto" w:fill="auto"/>
            <w:vAlign w:val="center"/>
          </w:tcPr>
          <w:p w14:paraId="5C2467AD"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28689,1</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2FE3"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43188,5</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01B6" w14:textId="77777777" w:rsidR="0044268C" w:rsidRDefault="00000000">
            <w:pPr>
              <w:widowControl w:val="0"/>
              <w:spacing w:after="0" w:line="227" w:lineRule="exact"/>
              <w:jc w:val="center"/>
              <w:rPr>
                <w:rFonts w:ascii="Times New Roman" w:hAnsi="Times New Roman"/>
                <w:sz w:val="24"/>
                <w:szCs w:val="24"/>
              </w:rPr>
            </w:pPr>
            <w:r>
              <w:rPr>
                <w:rFonts w:ascii="Times New Roman" w:eastAsia="Calibri" w:hAnsi="Times New Roman" w:cs="Times New Roman"/>
                <w:color w:val="000000"/>
                <w:sz w:val="24"/>
                <w:szCs w:val="24"/>
                <w:lang w:eastAsia="en-US"/>
              </w:rPr>
              <w:t>150,5</w:t>
            </w:r>
          </w:p>
        </w:tc>
      </w:tr>
    </w:tbl>
    <w:p w14:paraId="1C3FEEEA" w14:textId="77777777" w:rsidR="0044268C" w:rsidRDefault="0044268C">
      <w:pPr>
        <w:spacing w:after="0" w:line="227" w:lineRule="exact"/>
        <w:ind w:firstLine="708"/>
        <w:jc w:val="both"/>
        <w:rPr>
          <w:rFonts w:ascii="Times New Roman" w:eastAsia="Lucida Sans Unicode" w:hAnsi="Times New Roman" w:cs="Tahoma"/>
          <w:color w:val="000000"/>
          <w:sz w:val="28"/>
          <w:szCs w:val="28"/>
        </w:rPr>
      </w:pPr>
    </w:p>
    <w:p w14:paraId="5BBD524F" w14:textId="77777777" w:rsidR="0044268C" w:rsidRDefault="00000000">
      <w:pPr>
        <w:widowControl w:val="0"/>
        <w:spacing w:after="0" w:line="240" w:lineRule="auto"/>
        <w:ind w:firstLine="709"/>
        <w:jc w:val="both"/>
      </w:pPr>
      <w:r>
        <w:rPr>
          <w:rFonts w:ascii="Times New Roman" w:eastAsia="Times New Roman" w:hAnsi="Times New Roman" w:cs="Times New Roman"/>
          <w:color w:val="000000"/>
          <w:sz w:val="28"/>
          <w:szCs w:val="28"/>
        </w:rPr>
        <w:t xml:space="preserve">За 9 месяцев 2022 года в рамках муниципальной программы «Социальная поддержка граждан» </w:t>
      </w:r>
      <w:bookmarkStart w:id="2" w:name="_Hlk728421501"/>
      <w:r>
        <w:rPr>
          <w:rFonts w:ascii="Times New Roman" w:eastAsia="Times New Roman" w:hAnsi="Times New Roman" w:cs="Times New Roman"/>
          <w:b/>
          <w:bCs/>
          <w:color w:val="000000"/>
          <w:sz w:val="28"/>
          <w:szCs w:val="28"/>
        </w:rPr>
        <w:t xml:space="preserve">меры социальной поддержки </w:t>
      </w:r>
      <w:bookmarkEnd w:id="2"/>
      <w:r>
        <w:rPr>
          <w:rFonts w:ascii="Times New Roman" w:eastAsia="Times New Roman" w:hAnsi="Times New Roman" w:cs="Times New Roman"/>
          <w:color w:val="000000"/>
          <w:sz w:val="28"/>
          <w:szCs w:val="28"/>
        </w:rPr>
        <w:t>отдельным категориям граждан предоставлены 100% граждан, обратившихся и имеющих право на получение меры социальной поддержки, на общую сумму 430,2 млн. рублей. В том числе в рамках регионального проекта «Финансовая поддержка семей при рождении детей» получателям оказаны меры социальной поддержки на сумму 76,6 млн. рублей, по состоянию на                         30 сентября 2022 года численность получателей составила 647 человек.</w:t>
      </w:r>
    </w:p>
    <w:p w14:paraId="090B8F99" w14:textId="77777777" w:rsidR="0044268C" w:rsidRDefault="00000000">
      <w:pPr>
        <w:widowControl w:val="0"/>
        <w:spacing w:after="0" w:line="240" w:lineRule="auto"/>
        <w:ind w:firstLine="708"/>
        <w:jc w:val="both"/>
      </w:pPr>
      <w:r>
        <w:rPr>
          <w:rFonts w:ascii="Times New Roman" w:eastAsia="Times New Roman" w:hAnsi="Times New Roman" w:cs="Times New Roman"/>
          <w:color w:val="000000"/>
          <w:sz w:val="28"/>
          <w:szCs w:val="28"/>
        </w:rPr>
        <w:lastRenderedPageBreak/>
        <w:t xml:space="preserve">В округе сохраняется негативная </w:t>
      </w:r>
      <w:r>
        <w:rPr>
          <w:rFonts w:ascii="Times New Roman" w:eastAsia="Times New Roman" w:hAnsi="Times New Roman" w:cs="Times New Roman"/>
          <w:b/>
          <w:bCs/>
          <w:color w:val="000000"/>
          <w:sz w:val="28"/>
          <w:szCs w:val="28"/>
        </w:rPr>
        <w:t>демографическая ситуация</w:t>
      </w:r>
      <w:r>
        <w:rPr>
          <w:rFonts w:ascii="Times New Roman" w:eastAsia="Times New Roman" w:hAnsi="Times New Roman" w:cs="Times New Roman"/>
          <w:color w:val="000000"/>
          <w:sz w:val="28"/>
          <w:szCs w:val="28"/>
        </w:rPr>
        <w:t>. По данным Управления ЗАГС Ставропольского края общее число родившихся в округе за январь - сентябрь 2022 года (345 новорожденных) в 2,4 раза ниже, чем количество умерших (834 человек). Естественная убыль населения - 489 человек.</w:t>
      </w:r>
    </w:p>
    <w:p w14:paraId="1B908D77" w14:textId="77777777" w:rsidR="0044268C" w:rsidRDefault="00000000">
      <w:pPr>
        <w:widowControl w:val="0"/>
        <w:spacing w:after="0" w:line="240" w:lineRule="auto"/>
        <w:ind w:firstLine="709"/>
        <w:jc w:val="both"/>
        <w:rPr>
          <w:shd w:val="clear" w:color="auto" w:fill="FFFF00"/>
        </w:rPr>
      </w:pPr>
      <w:r>
        <w:rPr>
          <w:rFonts w:ascii="Times New Roman" w:eastAsia="Lucida Sans Unicode" w:hAnsi="Times New Roman" w:cs="Tahoma"/>
          <w:color w:val="000000"/>
          <w:sz w:val="28"/>
          <w:szCs w:val="28"/>
          <w:shd w:val="clear" w:color="auto" w:fill="FFFF00"/>
        </w:rPr>
        <w:t xml:space="preserve">                                                      </w:t>
      </w:r>
    </w:p>
    <w:p w14:paraId="3E93B7CE" w14:textId="1331038F" w:rsidR="00C35B72" w:rsidRDefault="00000000" w:rsidP="00C35B72">
      <w:pPr>
        <w:spacing w:after="0" w:line="240" w:lineRule="auto"/>
        <w:ind w:firstLine="709"/>
        <w:jc w:val="both"/>
        <w:rPr>
          <w:rFonts w:ascii="Times New Roman" w:eastAsia="Lucida Sans Unicode" w:hAnsi="Times New Roman" w:cs="Tahoma"/>
          <w:sz w:val="28"/>
          <w:szCs w:val="28"/>
        </w:rPr>
      </w:pPr>
      <w:r>
        <w:rPr>
          <w:rFonts w:ascii="Times New Roman" w:eastAsia="Lucida Sans Unicode" w:hAnsi="Times New Roman" w:cs="Tahoma"/>
          <w:sz w:val="28"/>
          <w:szCs w:val="28"/>
        </w:rPr>
        <w:t xml:space="preserve">Таким образом социально-экономическое развитие округа в анализируемом периоде характеризуется стабильным развитием социальной сферы, положительной динамикой средней месячной заработной платы одного работающего на предприятиях, не относящихся к субъектам МСП, </w:t>
      </w:r>
      <w:r w:rsidR="00F1375A">
        <w:rPr>
          <w:rFonts w:ascii="Times New Roman" w:eastAsia="Lucida Sans Unicode" w:hAnsi="Times New Roman" w:cs="Tahoma"/>
          <w:sz w:val="28"/>
          <w:szCs w:val="28"/>
        </w:rPr>
        <w:t xml:space="preserve">существенным </w:t>
      </w:r>
      <w:r>
        <w:rPr>
          <w:rFonts w:ascii="Times New Roman" w:eastAsia="Lucida Sans Unicode" w:hAnsi="Times New Roman" w:cs="Tahoma"/>
          <w:sz w:val="28"/>
          <w:szCs w:val="28"/>
        </w:rPr>
        <w:t xml:space="preserve">увеличением объемов производства отдельных видов промышленной </w:t>
      </w:r>
      <w:r w:rsidR="00F1375A">
        <w:rPr>
          <w:rFonts w:ascii="Times New Roman" w:eastAsia="Lucida Sans Unicode" w:hAnsi="Times New Roman" w:cs="Tahoma"/>
          <w:sz w:val="28"/>
          <w:szCs w:val="28"/>
        </w:rPr>
        <w:t xml:space="preserve">продукции </w:t>
      </w:r>
      <w:r>
        <w:rPr>
          <w:rFonts w:ascii="Times New Roman" w:eastAsia="Lucida Sans Unicode" w:hAnsi="Times New Roman" w:cs="Tahoma"/>
          <w:sz w:val="28"/>
          <w:szCs w:val="28"/>
        </w:rPr>
        <w:t>и</w:t>
      </w:r>
      <w:r w:rsidR="00054E84">
        <w:rPr>
          <w:rFonts w:ascii="Times New Roman" w:eastAsia="Lucida Sans Unicode" w:hAnsi="Times New Roman" w:cs="Tahoma"/>
          <w:sz w:val="28"/>
          <w:szCs w:val="28"/>
        </w:rPr>
        <w:t xml:space="preserve"> объемом внебюджетных </w:t>
      </w:r>
      <w:r w:rsidR="00F1375A">
        <w:rPr>
          <w:rFonts w:ascii="Times New Roman" w:eastAsia="Lucida Sans Unicode" w:hAnsi="Times New Roman" w:cs="Tahoma"/>
          <w:sz w:val="28"/>
          <w:szCs w:val="28"/>
        </w:rPr>
        <w:t>инвестиций</w:t>
      </w:r>
      <w:r w:rsidR="00054E84">
        <w:rPr>
          <w:rFonts w:ascii="Times New Roman" w:eastAsia="Lucida Sans Unicode" w:hAnsi="Times New Roman" w:cs="Tahoma"/>
          <w:sz w:val="28"/>
          <w:szCs w:val="28"/>
        </w:rPr>
        <w:t>.</w:t>
      </w:r>
    </w:p>
    <w:p w14:paraId="11A47947" w14:textId="1FA6017C" w:rsidR="0044268C" w:rsidRDefault="00000000">
      <w:pPr>
        <w:spacing w:after="0" w:line="240" w:lineRule="auto"/>
        <w:ind w:firstLine="709"/>
        <w:jc w:val="both"/>
      </w:pPr>
      <w:r>
        <w:rPr>
          <w:rFonts w:ascii="Times New Roman" w:eastAsia="Lucida Sans Unicode" w:hAnsi="Times New Roman" w:cs="Tahoma"/>
          <w:sz w:val="28"/>
          <w:szCs w:val="28"/>
        </w:rPr>
        <w:t>Вместе с тем сохраняются и негативные тенденции: сокращение численности населения, убыточная деятельность ряда предприятий.</w:t>
      </w:r>
    </w:p>
    <w:p w14:paraId="6DCD460C" w14:textId="77777777" w:rsidR="0044268C" w:rsidRDefault="0044268C">
      <w:pPr>
        <w:spacing w:after="0" w:line="240" w:lineRule="auto"/>
        <w:ind w:firstLine="709"/>
        <w:jc w:val="both"/>
        <w:rPr>
          <w:rFonts w:ascii="Times New Roman" w:eastAsia="Lucida Sans Unicode" w:hAnsi="Times New Roman" w:cs="Tahoma"/>
          <w:sz w:val="28"/>
          <w:szCs w:val="28"/>
        </w:rPr>
      </w:pPr>
    </w:p>
    <w:p w14:paraId="77052F78" w14:textId="77777777" w:rsidR="0044268C" w:rsidRDefault="0044268C">
      <w:pPr>
        <w:spacing w:after="0" w:line="240" w:lineRule="auto"/>
        <w:ind w:firstLine="709"/>
        <w:jc w:val="both"/>
        <w:rPr>
          <w:rFonts w:ascii="Times New Roman" w:eastAsia="Lucida Sans Unicode" w:hAnsi="Times New Roman" w:cs="Tahoma"/>
          <w:color w:val="000000"/>
          <w:sz w:val="28"/>
          <w:szCs w:val="28"/>
        </w:rPr>
      </w:pPr>
    </w:p>
    <w:p w14:paraId="1CFB0B34" w14:textId="77777777" w:rsidR="0044268C" w:rsidRDefault="00000000">
      <w:pPr>
        <w:spacing w:after="0" w:line="240" w:lineRule="auto"/>
        <w:ind w:firstLine="709"/>
        <w:jc w:val="both"/>
      </w:pPr>
      <w:r>
        <w:rPr>
          <w:rFonts w:ascii="Times New Roman" w:eastAsia="Lucida Sans Unicode" w:hAnsi="Times New Roman" w:cs="Tahoma"/>
          <w:color w:val="000000"/>
          <w:sz w:val="28"/>
          <w:szCs w:val="28"/>
        </w:rPr>
        <w:t xml:space="preserve">                                                                          </w:t>
      </w:r>
    </w:p>
    <w:p w14:paraId="65E98010" w14:textId="77777777" w:rsidR="0044268C" w:rsidRDefault="00000000">
      <w:pPr>
        <w:spacing w:after="0" w:line="283" w:lineRule="exact"/>
        <w:jc w:val="both"/>
      </w:pPr>
      <w:r>
        <w:rPr>
          <w:rFonts w:ascii="Times New Roman" w:eastAsia="Times New Roman" w:hAnsi="Times New Roman" w:cs="Arial"/>
          <w:color w:val="000000"/>
          <w:sz w:val="28"/>
          <w:szCs w:val="28"/>
        </w:rPr>
        <w:t>Первый заместитель главы администрации -</w:t>
      </w:r>
    </w:p>
    <w:p w14:paraId="49E2CC2A" w14:textId="77777777" w:rsidR="0044268C" w:rsidRDefault="00000000">
      <w:pPr>
        <w:spacing w:after="0" w:line="283" w:lineRule="exact"/>
        <w:jc w:val="both"/>
      </w:pPr>
      <w:r>
        <w:rPr>
          <w:rFonts w:ascii="Times New Roman" w:eastAsia="Times New Roman" w:hAnsi="Times New Roman" w:cs="Arial"/>
          <w:color w:val="000000"/>
          <w:sz w:val="28"/>
          <w:szCs w:val="28"/>
        </w:rPr>
        <w:t>начальник финансового управления</w:t>
      </w:r>
    </w:p>
    <w:p w14:paraId="1CBF45BF" w14:textId="77777777" w:rsidR="0044268C" w:rsidRDefault="00000000">
      <w:pPr>
        <w:spacing w:after="0" w:line="283" w:lineRule="exact"/>
        <w:jc w:val="both"/>
      </w:pPr>
      <w:r>
        <w:rPr>
          <w:rFonts w:ascii="Times New Roman" w:eastAsia="Times New Roman" w:hAnsi="Times New Roman" w:cs="Arial"/>
          <w:color w:val="000000"/>
          <w:sz w:val="28"/>
          <w:szCs w:val="28"/>
        </w:rPr>
        <w:t xml:space="preserve">администрации Петровского городского  </w:t>
      </w:r>
    </w:p>
    <w:p w14:paraId="70E365BC" w14:textId="77777777" w:rsidR="0044268C" w:rsidRDefault="00000000">
      <w:pPr>
        <w:spacing w:after="0" w:line="283" w:lineRule="exact"/>
        <w:jc w:val="both"/>
      </w:pPr>
      <w:r>
        <w:rPr>
          <w:rFonts w:ascii="Times New Roman" w:eastAsia="Times New Roman" w:hAnsi="Times New Roman" w:cs="Arial"/>
          <w:color w:val="000000"/>
          <w:sz w:val="28"/>
          <w:szCs w:val="28"/>
        </w:rPr>
        <w:t>округа Ставропольского края                                                   В.П.Сухомлинова</w:t>
      </w:r>
    </w:p>
    <w:p w14:paraId="5EC2C3B9" w14:textId="77777777" w:rsidR="0044268C" w:rsidRDefault="0044268C">
      <w:pPr>
        <w:spacing w:after="0" w:line="240" w:lineRule="auto"/>
      </w:pPr>
    </w:p>
    <w:p w14:paraId="70DB75BB" w14:textId="77777777" w:rsidR="0044268C" w:rsidRDefault="0044268C">
      <w:pPr>
        <w:spacing w:after="0" w:line="240" w:lineRule="auto"/>
      </w:pPr>
    </w:p>
    <w:p w14:paraId="2E408BDC" w14:textId="77777777" w:rsidR="0044268C" w:rsidRDefault="0044268C">
      <w:pPr>
        <w:spacing w:after="0" w:line="240" w:lineRule="auto"/>
      </w:pPr>
    </w:p>
    <w:p w14:paraId="7D423363" w14:textId="77777777" w:rsidR="0044268C" w:rsidRDefault="0044268C">
      <w:pPr>
        <w:spacing w:after="0" w:line="240" w:lineRule="auto"/>
      </w:pPr>
    </w:p>
    <w:p w14:paraId="6FBA4D34" w14:textId="77777777" w:rsidR="0044268C" w:rsidRDefault="0044268C">
      <w:pPr>
        <w:spacing w:after="0" w:line="240" w:lineRule="auto"/>
      </w:pPr>
    </w:p>
    <w:p w14:paraId="5930C7FD" w14:textId="77777777" w:rsidR="0044268C" w:rsidRDefault="0044268C">
      <w:pPr>
        <w:spacing w:after="0" w:line="240" w:lineRule="auto"/>
      </w:pPr>
    </w:p>
    <w:p w14:paraId="3F7517BE" w14:textId="77777777" w:rsidR="0044268C" w:rsidRDefault="0044268C">
      <w:pPr>
        <w:spacing w:after="0" w:line="240" w:lineRule="auto"/>
      </w:pPr>
    </w:p>
    <w:p w14:paraId="0A1C9DE8" w14:textId="77777777" w:rsidR="0044268C" w:rsidRDefault="0044268C">
      <w:pPr>
        <w:spacing w:after="0" w:line="240" w:lineRule="auto"/>
      </w:pPr>
    </w:p>
    <w:p w14:paraId="06E28482" w14:textId="77777777" w:rsidR="0044268C" w:rsidRDefault="0044268C">
      <w:pPr>
        <w:spacing w:after="0" w:line="240" w:lineRule="auto"/>
      </w:pPr>
    </w:p>
    <w:p w14:paraId="3B021DAF" w14:textId="77777777" w:rsidR="0044268C" w:rsidRDefault="00000000">
      <w:pPr>
        <w:spacing w:after="0" w:line="240" w:lineRule="auto"/>
        <w:jc w:val="both"/>
      </w:pPr>
      <w:r>
        <w:rPr>
          <w:rFonts w:ascii="Times New Roman" w:hAnsi="Times New Roman" w:cs="Times New Roman"/>
          <w:sz w:val="20"/>
          <w:szCs w:val="20"/>
        </w:rPr>
        <w:t>исп. Амелина А.А.</w:t>
      </w:r>
    </w:p>
    <w:p w14:paraId="5B398DBA" w14:textId="77777777" w:rsidR="0044268C" w:rsidRDefault="00000000">
      <w:pPr>
        <w:spacing w:after="0" w:line="240" w:lineRule="auto"/>
        <w:jc w:val="both"/>
      </w:pPr>
      <w:r>
        <w:rPr>
          <w:rFonts w:ascii="Times New Roman" w:hAnsi="Times New Roman" w:cs="Times New Roman"/>
          <w:sz w:val="20"/>
          <w:szCs w:val="20"/>
        </w:rPr>
        <w:t>8(86547)4-05-36</w:t>
      </w:r>
    </w:p>
    <w:sectPr w:rsidR="0044268C">
      <w:pgSz w:w="11906" w:h="16838"/>
      <w:pgMar w:top="1134" w:right="567" w:bottom="1134" w:left="198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swiss"/>
    <w:pitch w:val="variable"/>
  </w:font>
  <w:font w:name="DejaVu Sans">
    <w:altName w:val="Verdana"/>
    <w:charset w:val="01"/>
    <w:family w:val="roman"/>
    <w:pitch w:val="variable"/>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1"/>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121C3"/>
    <w:multiLevelType w:val="multilevel"/>
    <w:tmpl w:val="F3B87928"/>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49995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44268C"/>
    <w:rsid w:val="00054E84"/>
    <w:rsid w:val="00287E26"/>
    <w:rsid w:val="002E14C7"/>
    <w:rsid w:val="0044268C"/>
    <w:rsid w:val="004F4138"/>
    <w:rsid w:val="006A07E1"/>
    <w:rsid w:val="006C30DA"/>
    <w:rsid w:val="00910E49"/>
    <w:rsid w:val="00C35B72"/>
    <w:rsid w:val="00E21151"/>
    <w:rsid w:val="00F137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8B88"/>
  <w15:docId w15:val="{F5443FA2-CC44-456B-9A7E-5B2D0A6A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6BC"/>
    <w:pPr>
      <w:spacing w:after="200" w:line="276" w:lineRule="auto"/>
    </w:pPr>
    <w:rPr>
      <w:sz w:val="22"/>
    </w:rPr>
  </w:style>
  <w:style w:type="paragraph" w:styleId="2">
    <w:name w:val="heading 2"/>
    <w:basedOn w:val="a0"/>
    <w:next w:val="a1"/>
    <w:qFormat/>
    <w:pPr>
      <w:numPr>
        <w:ilvl w:val="1"/>
        <w:numId w:val="1"/>
      </w:numPr>
      <w:spacing w:before="200"/>
      <w:outlineLvl w:val="1"/>
    </w:pPr>
    <w:rPr>
      <w:rFonts w:ascii="Liberation Serif" w:eastAsia="DejaVu Sans" w:hAnsi="Liberation Serif" w:cs="DejaVu Sans"/>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Основной текст с отступом 2 Знак"/>
    <w:basedOn w:val="a2"/>
    <w:uiPriority w:val="99"/>
    <w:qFormat/>
    <w:rsid w:val="00EC10E6"/>
    <w:rPr>
      <w:rFonts w:ascii="Calibri" w:eastAsia="Times New Roman" w:hAnsi="Calibri" w:cs="Times New Roman"/>
    </w:rPr>
  </w:style>
  <w:style w:type="character" w:customStyle="1" w:styleId="21">
    <w:name w:val="Основной текст 2 Знак"/>
    <w:basedOn w:val="a2"/>
    <w:link w:val="22"/>
    <w:uiPriority w:val="99"/>
    <w:qFormat/>
    <w:rsid w:val="00BA7F6A"/>
    <w:rPr>
      <w:rFonts w:ascii="Times New Roman" w:eastAsia="Lucida Sans Unicode" w:hAnsi="Times New Roman" w:cs="Times New Roman"/>
      <w:sz w:val="24"/>
      <w:szCs w:val="20"/>
    </w:rPr>
  </w:style>
  <w:style w:type="character" w:customStyle="1" w:styleId="a5">
    <w:name w:val="Текст выноски Знак"/>
    <w:basedOn w:val="a2"/>
    <w:uiPriority w:val="99"/>
    <w:semiHidden/>
    <w:qFormat/>
    <w:rsid w:val="006E3660"/>
    <w:rPr>
      <w:rFonts w:ascii="Segoe UI" w:hAnsi="Segoe UI" w:cs="Segoe UI"/>
      <w:sz w:val="18"/>
      <w:szCs w:val="18"/>
    </w:rPr>
  </w:style>
  <w:style w:type="character" w:customStyle="1" w:styleId="a6">
    <w:name w:val="Символ нумерации"/>
    <w:qFormat/>
  </w:style>
  <w:style w:type="character" w:customStyle="1" w:styleId="a7">
    <w:name w:val="Основной текст Знак"/>
    <w:basedOn w:val="a2"/>
    <w:qFormat/>
    <w:rPr>
      <w:rFonts w:ascii="Times New Roman" w:eastAsia="Times New Roman" w:hAnsi="Times New Roman" w:cs="Times New Roman"/>
      <w:sz w:val="24"/>
      <w:szCs w:val="24"/>
    </w:rPr>
  </w:style>
  <w:style w:type="character" w:styleId="a8">
    <w:name w:val="Emphasis"/>
    <w:qFormat/>
    <w:rPr>
      <w:i/>
      <w:iCs/>
    </w:rPr>
  </w:style>
  <w:style w:type="paragraph" w:styleId="a0">
    <w:name w:val="Title"/>
    <w:basedOn w:val="a"/>
    <w:next w:val="a1"/>
    <w:qFormat/>
    <w:pPr>
      <w:keepNext/>
      <w:spacing w:before="240" w:after="120"/>
    </w:pPr>
    <w:rPr>
      <w:rFonts w:ascii="DejaVu Sans" w:eastAsia="Droid Sans Fallback" w:hAnsi="DejaVu Sans" w:cs="Droid Sans Devanagari"/>
      <w:sz w:val="28"/>
      <w:szCs w:val="28"/>
    </w:rPr>
  </w:style>
  <w:style w:type="paragraph" w:styleId="a1">
    <w:name w:val="Body Text"/>
    <w:basedOn w:val="a"/>
    <w:pPr>
      <w:spacing w:after="140"/>
    </w:pPr>
  </w:style>
  <w:style w:type="paragraph" w:styleId="a9">
    <w:name w:val="List"/>
    <w:basedOn w:val="a1"/>
    <w:rPr>
      <w:rFonts w:cs="Droid Sans Devanagari"/>
    </w:rPr>
  </w:style>
  <w:style w:type="paragraph" w:styleId="aa">
    <w:name w:val="caption"/>
    <w:basedOn w:val="a"/>
    <w:qFormat/>
    <w:pPr>
      <w:suppressLineNumbers/>
      <w:spacing w:before="120" w:after="120"/>
    </w:pPr>
    <w:rPr>
      <w:rFonts w:cs="Droid Sans Devanagari"/>
      <w:i/>
      <w:iCs/>
      <w:sz w:val="24"/>
      <w:szCs w:val="24"/>
    </w:rPr>
  </w:style>
  <w:style w:type="paragraph" w:styleId="ab">
    <w:name w:val="index heading"/>
    <w:basedOn w:val="a"/>
    <w:qFormat/>
    <w:pPr>
      <w:suppressLineNumbers/>
    </w:pPr>
    <w:rPr>
      <w:rFonts w:cs="Droid Sans Devanagari"/>
    </w:rPr>
  </w:style>
  <w:style w:type="paragraph" w:styleId="ac">
    <w:name w:val="List Paragraph"/>
    <w:basedOn w:val="a"/>
    <w:uiPriority w:val="34"/>
    <w:qFormat/>
    <w:rsid w:val="002F5D2F"/>
    <w:pPr>
      <w:ind w:left="720"/>
      <w:contextualSpacing/>
    </w:pPr>
  </w:style>
  <w:style w:type="paragraph" w:styleId="23">
    <w:name w:val="Body Text Indent 2"/>
    <w:basedOn w:val="a"/>
    <w:uiPriority w:val="99"/>
    <w:unhideWhenUsed/>
    <w:qFormat/>
    <w:rsid w:val="00EC10E6"/>
    <w:pPr>
      <w:spacing w:after="120" w:line="480" w:lineRule="auto"/>
      <w:ind w:left="283"/>
    </w:pPr>
    <w:rPr>
      <w:rFonts w:ascii="Calibri" w:eastAsia="Times New Roman" w:hAnsi="Calibri" w:cs="Times New Roman"/>
    </w:rPr>
  </w:style>
  <w:style w:type="paragraph" w:styleId="ad">
    <w:name w:val="Normal (Web)"/>
    <w:basedOn w:val="a"/>
    <w:uiPriority w:val="99"/>
    <w:qFormat/>
    <w:rsid w:val="00A95D28"/>
    <w:pPr>
      <w:spacing w:beforeAutospacing="1" w:afterAutospacing="1" w:line="240" w:lineRule="auto"/>
    </w:pPr>
    <w:rPr>
      <w:rFonts w:ascii="Times New Roman" w:eastAsia="Times New Roman" w:hAnsi="Times New Roman" w:cs="Times New Roman"/>
      <w:sz w:val="24"/>
      <w:szCs w:val="24"/>
    </w:rPr>
  </w:style>
  <w:style w:type="paragraph" w:styleId="22">
    <w:name w:val="Body Text 2"/>
    <w:basedOn w:val="a"/>
    <w:link w:val="21"/>
    <w:uiPriority w:val="99"/>
    <w:unhideWhenUsed/>
    <w:qFormat/>
    <w:rsid w:val="00BA7F6A"/>
    <w:pPr>
      <w:widowControl w:val="0"/>
      <w:spacing w:after="120" w:line="480" w:lineRule="auto"/>
    </w:pPr>
    <w:rPr>
      <w:rFonts w:ascii="Times New Roman" w:eastAsia="Lucida Sans Unicode" w:hAnsi="Times New Roman" w:cs="Times New Roman"/>
      <w:sz w:val="24"/>
      <w:szCs w:val="20"/>
    </w:rPr>
  </w:style>
  <w:style w:type="paragraph" w:styleId="ae">
    <w:name w:val="Balloon Text"/>
    <w:basedOn w:val="a"/>
    <w:uiPriority w:val="99"/>
    <w:semiHidden/>
    <w:unhideWhenUsed/>
    <w:qFormat/>
    <w:rsid w:val="006E3660"/>
    <w:pPr>
      <w:spacing w:after="0" w:line="240" w:lineRule="auto"/>
    </w:pPr>
    <w:rPr>
      <w:rFonts w:ascii="Segoe UI" w:hAnsi="Segoe UI" w:cs="Segoe UI"/>
      <w:sz w:val="18"/>
      <w:szCs w:val="18"/>
    </w:rPr>
  </w:style>
  <w:style w:type="paragraph" w:styleId="af">
    <w:name w:val="Document Map"/>
    <w:qFormat/>
    <w:pPr>
      <w:spacing w:after="160" w:line="252" w:lineRule="auto"/>
    </w:pPr>
    <w:rPr>
      <w:rFonts w:eastAsia="Times New Roman" w:cs="Calibri"/>
      <w:sz w:val="22"/>
    </w:rPr>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paragraph" w:customStyle="1" w:styleId="1">
    <w:name w:val="Обычная таблица1"/>
    <w:qFormat/>
    <w:rPr>
      <w:rFonts w:eastAsia="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D7DE2-254B-4AB8-9082-8ED81F9D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7</Pages>
  <Words>2631</Words>
  <Characters>14998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экономичесого развития</dc:creator>
  <dc:description/>
  <cp:lastModifiedBy>Кириленко Лариса Васильевна</cp:lastModifiedBy>
  <cp:revision>99</cp:revision>
  <cp:lastPrinted>2022-10-31T07:54:00Z</cp:lastPrinted>
  <dcterms:created xsi:type="dcterms:W3CDTF">2020-07-23T06:58:00Z</dcterms:created>
  <dcterms:modified xsi:type="dcterms:W3CDTF">2022-10-31T10:46:00Z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