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FE" w:rsidRPr="00A4235D" w:rsidRDefault="00FD26FE" w:rsidP="00FD26FE">
      <w:pPr>
        <w:tabs>
          <w:tab w:val="center" w:pos="4677"/>
          <w:tab w:val="left" w:pos="7713"/>
        </w:tabs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4235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4235D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D26FE" w:rsidRPr="00A4235D" w:rsidRDefault="00FD26FE" w:rsidP="00FD26FE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napToGrid w:val="0"/>
          <w:sz w:val="24"/>
          <w:szCs w:val="28"/>
        </w:rPr>
      </w:pPr>
    </w:p>
    <w:p w:rsidR="00FD26FE" w:rsidRPr="00A4235D" w:rsidRDefault="00FD26FE" w:rsidP="00FD26FE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A4235D">
        <w:rPr>
          <w:rFonts w:ascii="Times New Roman" w:eastAsia="Times New Roman" w:hAnsi="Times New Roman"/>
          <w:snapToGrid w:val="0"/>
          <w:sz w:val="24"/>
          <w:szCs w:val="24"/>
        </w:rPr>
        <w:t>АДМИНИСТРАЦИИ ПЕТРОВСКОГО ГОРОДСКОГО ОКРУГА СТАВРОПОЛЬСКОГО КРАЯ</w:t>
      </w:r>
    </w:p>
    <w:p w:rsidR="00FD26FE" w:rsidRPr="00A4235D" w:rsidRDefault="00FD26FE" w:rsidP="00FD26FE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 w:rsidR="00A4235D" w:rsidRPr="00A4235D" w:rsidTr="00305570">
        <w:trPr>
          <w:trHeight w:val="208"/>
        </w:trPr>
        <w:tc>
          <w:tcPr>
            <w:tcW w:w="3063" w:type="dxa"/>
            <w:hideMark/>
          </w:tcPr>
          <w:p w:rsidR="00FD26FE" w:rsidRPr="00A4235D" w:rsidRDefault="00305570" w:rsidP="003055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27 декабря 2021 г.</w:t>
            </w:r>
          </w:p>
        </w:tc>
        <w:tc>
          <w:tcPr>
            <w:tcW w:w="3171" w:type="dxa"/>
            <w:hideMark/>
          </w:tcPr>
          <w:p w:rsidR="00FD26FE" w:rsidRPr="00A4235D" w:rsidRDefault="00FD26FE" w:rsidP="003055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</w:tr>
    </w:tbl>
    <w:p w:rsidR="00FD26FE" w:rsidRDefault="00305570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№ 2077 </w:t>
      </w:r>
    </w:p>
    <w:p w:rsidR="00305570" w:rsidRPr="00A4235D" w:rsidRDefault="00305570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D26FE" w:rsidRPr="00A4235D" w:rsidRDefault="00FD26FE" w:rsidP="00FD26F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35D">
        <w:rPr>
          <w:rFonts w:ascii="Times New Roman" w:hAnsi="Times New Roman" w:cs="Times New Roman"/>
          <w:b w:val="0"/>
          <w:sz w:val="28"/>
          <w:szCs w:val="28"/>
        </w:rPr>
        <w:t>Об утверждении Перечня объектов Петровского городского округа Ставропольского края, право собственности на которые принадлежит или будет принадлежать Петровскому городскому округу Ставропольского края, в отношении которых планируется заключение концессионных соглашений, на 2022 год</w:t>
      </w:r>
    </w:p>
    <w:p w:rsidR="00FD26FE" w:rsidRPr="00A4235D" w:rsidRDefault="00FD26FE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D26FE" w:rsidRDefault="00FD26FE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A4235D" w:rsidRPr="00A4235D" w:rsidRDefault="00A4235D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D26FE" w:rsidRPr="00A4235D" w:rsidRDefault="00FD26FE" w:rsidP="00FD2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35D">
        <w:rPr>
          <w:rFonts w:ascii="Times New Roman" w:eastAsia="Times New Roman" w:hAnsi="Times New Roman"/>
          <w:sz w:val="28"/>
          <w:szCs w:val="28"/>
        </w:rPr>
        <w:t xml:space="preserve">Рассмотрев сведения об объектах, в отношении которых планируется заключение концессионных соглашений, выписки из Единого государственного реестра недвижимости об основных характеристиках и зарегистрированных правах на объекты недвижимости, в соответствии </w:t>
      </w:r>
      <w:r w:rsidRPr="00A4235D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A4235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 статьи 4</w:t>
        </w:r>
      </w:hyperlink>
      <w:r w:rsidRPr="00A4235D">
        <w:rPr>
          <w:rFonts w:ascii="Times New Roman" w:hAnsi="Times New Roman"/>
          <w:sz w:val="28"/>
          <w:szCs w:val="28"/>
        </w:rPr>
        <w:t xml:space="preserve"> Федерального закона от 21 июля 2005 года № 115-ФЗ </w:t>
      </w:r>
      <w:r w:rsidR="00A4235D">
        <w:rPr>
          <w:rFonts w:ascii="Times New Roman" w:hAnsi="Times New Roman"/>
          <w:sz w:val="28"/>
          <w:szCs w:val="28"/>
        </w:rPr>
        <w:t xml:space="preserve">             </w:t>
      </w:r>
      <w:r w:rsidRPr="00A4235D">
        <w:rPr>
          <w:rFonts w:ascii="Times New Roman" w:hAnsi="Times New Roman"/>
          <w:sz w:val="28"/>
          <w:szCs w:val="28"/>
        </w:rPr>
        <w:t>«О концессионных соглашениях», постановлением администрации Петровского городского округа Ставропольского края  от 10 апреля 2019 года № 858 «О мерах по</w:t>
      </w:r>
      <w:proofErr w:type="gramEnd"/>
      <w:r w:rsidRPr="00A4235D">
        <w:rPr>
          <w:rFonts w:ascii="Times New Roman" w:hAnsi="Times New Roman"/>
          <w:sz w:val="28"/>
          <w:szCs w:val="28"/>
        </w:rPr>
        <w:t xml:space="preserve"> реализации отдельных положений Федерального закона от 21.07.2005 № 115-ФЗ «О концессионных соглашениях» на территории Петровского городского округа Ставропольского края», протоколом заседания Совета по улучшению инвестиционного климата в Петровском городском округе Ставропольского края от </w:t>
      </w:r>
      <w:r w:rsidR="0062047A" w:rsidRPr="00A4235D">
        <w:rPr>
          <w:rFonts w:ascii="Times New Roman" w:hAnsi="Times New Roman"/>
          <w:sz w:val="28"/>
          <w:szCs w:val="28"/>
        </w:rPr>
        <w:t>26 ноября 2021</w:t>
      </w:r>
      <w:r w:rsidRPr="00A4235D">
        <w:rPr>
          <w:rFonts w:ascii="Times New Roman" w:hAnsi="Times New Roman"/>
          <w:sz w:val="28"/>
          <w:szCs w:val="28"/>
        </w:rPr>
        <w:t xml:space="preserve"> года № </w:t>
      </w:r>
      <w:r w:rsidR="0062047A" w:rsidRPr="00A4235D">
        <w:rPr>
          <w:rFonts w:ascii="Times New Roman" w:hAnsi="Times New Roman"/>
          <w:sz w:val="28"/>
          <w:szCs w:val="28"/>
        </w:rPr>
        <w:t>4</w:t>
      </w:r>
      <w:r w:rsidRPr="00A4235D">
        <w:rPr>
          <w:rFonts w:ascii="Times New Roman" w:hAnsi="Times New Roman"/>
          <w:sz w:val="28"/>
          <w:szCs w:val="28"/>
        </w:rPr>
        <w:t xml:space="preserve">, </w:t>
      </w:r>
      <w:r w:rsidRPr="00A4235D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Pr="00A4235D">
        <w:rPr>
          <w:rFonts w:ascii="Times New Roman" w:eastAsia="Times New Roman" w:hAnsi="Times New Roman"/>
          <w:bCs/>
          <w:sz w:val="28"/>
          <w:szCs w:val="28"/>
        </w:rPr>
        <w:t>Петровского городского округа Ставропольского края</w:t>
      </w:r>
    </w:p>
    <w:p w:rsidR="00FD26FE" w:rsidRPr="00A4235D" w:rsidRDefault="00FD26FE" w:rsidP="00FD26FE">
      <w:pPr>
        <w:spacing w:after="0" w:line="240" w:lineRule="exact"/>
        <w:ind w:right="-1" w:firstLine="708"/>
        <w:jc w:val="both"/>
        <w:rPr>
          <w:rFonts w:ascii="Times New Roman" w:eastAsia="Times New Roman" w:hAnsi="Times New Roman"/>
          <w:bCs/>
          <w:sz w:val="28"/>
          <w:szCs w:val="20"/>
        </w:rPr>
      </w:pPr>
    </w:p>
    <w:p w:rsidR="00FD26FE" w:rsidRPr="00A4235D" w:rsidRDefault="00FD26FE" w:rsidP="00FD26FE">
      <w:pPr>
        <w:spacing w:after="0" w:line="240" w:lineRule="exact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D26FE" w:rsidRPr="00A4235D" w:rsidRDefault="00FD26FE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4235D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</w:p>
    <w:p w:rsidR="00FD26FE" w:rsidRPr="00A4235D" w:rsidRDefault="00FD26FE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D26FE" w:rsidRPr="00A4235D" w:rsidRDefault="00FD26FE" w:rsidP="00FD26FE">
      <w:pPr>
        <w:spacing w:after="0" w:line="240" w:lineRule="exact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D26FE" w:rsidRPr="00A4235D" w:rsidRDefault="00FD26FE" w:rsidP="00FD26F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35D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Перечень объектов Петровского городского округа Ставропольского края, право собственности на которые принадлежит или будет принадлежать Петровскому городскому округу Ставропольского края, в отношении которых планируется заключение концессионных сог</w:t>
      </w:r>
      <w:r w:rsidR="0062047A" w:rsidRPr="00A4235D">
        <w:rPr>
          <w:rFonts w:ascii="Times New Roman" w:hAnsi="Times New Roman" w:cs="Times New Roman"/>
          <w:b w:val="0"/>
          <w:sz w:val="28"/>
          <w:szCs w:val="28"/>
        </w:rPr>
        <w:t>лашений, на 2022</w:t>
      </w:r>
      <w:r w:rsidRPr="00A4235D">
        <w:rPr>
          <w:rFonts w:ascii="Times New Roman" w:hAnsi="Times New Roman" w:cs="Times New Roman"/>
          <w:b w:val="0"/>
          <w:sz w:val="28"/>
          <w:szCs w:val="28"/>
        </w:rPr>
        <w:t xml:space="preserve"> год (далее - Перечень).</w:t>
      </w:r>
    </w:p>
    <w:p w:rsidR="00FD26FE" w:rsidRPr="00A4235D" w:rsidRDefault="00FD26FE" w:rsidP="00FD26F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16"/>
        </w:rPr>
      </w:pPr>
    </w:p>
    <w:p w:rsidR="00FD26FE" w:rsidRPr="00A4235D" w:rsidRDefault="00FD26FE" w:rsidP="00FD26F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235D">
        <w:rPr>
          <w:rFonts w:ascii="Times New Roman" w:hAnsi="Times New Roman" w:cs="Times New Roman"/>
          <w:b w:val="0"/>
          <w:sz w:val="28"/>
          <w:szCs w:val="28"/>
        </w:rPr>
        <w:t xml:space="preserve">2. Отделу стратегического планирования и инвестиций администрации Петровского городского округа Ставропольского края </w:t>
      </w:r>
      <w:proofErr w:type="gramStart"/>
      <w:r w:rsidRPr="00A4235D">
        <w:rPr>
          <w:rFonts w:ascii="Times New Roman" w:hAnsi="Times New Roman" w:cs="Times New Roman"/>
          <w:b w:val="0"/>
          <w:sz w:val="28"/>
          <w:szCs w:val="28"/>
        </w:rPr>
        <w:t>разместить Перечень</w:t>
      </w:r>
      <w:proofErr w:type="gramEnd"/>
      <w:r w:rsidRPr="00A4235D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proofErr w:type="gramStart"/>
      <w:r w:rsidRPr="00A4235D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gramEnd"/>
      <w:r w:rsidRPr="00A4235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 </w:t>
      </w:r>
      <w:proofErr w:type="gramStart"/>
      <w:r w:rsidRPr="00A4235D">
        <w:rPr>
          <w:rFonts w:ascii="Times New Roman" w:hAnsi="Times New Roman" w:cs="Times New Roman"/>
          <w:b w:val="0"/>
          <w:sz w:val="28"/>
          <w:szCs w:val="28"/>
        </w:rPr>
        <w:t>проведении</w:t>
      </w:r>
      <w:proofErr w:type="gramEnd"/>
      <w:r w:rsidRPr="00A4235D">
        <w:rPr>
          <w:rFonts w:ascii="Times New Roman" w:hAnsi="Times New Roman" w:cs="Times New Roman"/>
          <w:b w:val="0"/>
          <w:sz w:val="28"/>
          <w:szCs w:val="28"/>
        </w:rPr>
        <w:t xml:space="preserve"> торгов, определенном Правительством Российской Федерации, и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FD26FE" w:rsidRPr="00A4235D" w:rsidRDefault="00FD26FE" w:rsidP="00FD26FE">
      <w:pPr>
        <w:spacing w:after="0" w:line="240" w:lineRule="exact"/>
        <w:ind w:right="-1" w:firstLine="567"/>
        <w:jc w:val="both"/>
        <w:rPr>
          <w:rFonts w:ascii="Times New Roman" w:eastAsia="Times New Roman" w:hAnsi="Times New Roman"/>
          <w:sz w:val="28"/>
          <w:szCs w:val="16"/>
        </w:rPr>
      </w:pP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35D">
        <w:rPr>
          <w:rFonts w:ascii="Times New Roman" w:hAnsi="Times New Roman"/>
          <w:sz w:val="28"/>
          <w:szCs w:val="20"/>
          <w:lang w:eastAsia="ru-RU"/>
        </w:rPr>
        <w:lastRenderedPageBreak/>
        <w:t>3. Признать утратившим силу постановление администрации Петровского городского о</w:t>
      </w:r>
      <w:r w:rsidR="0062047A" w:rsidRPr="00A4235D">
        <w:rPr>
          <w:rFonts w:ascii="Times New Roman" w:hAnsi="Times New Roman"/>
          <w:sz w:val="28"/>
          <w:szCs w:val="20"/>
          <w:lang w:eastAsia="ru-RU"/>
        </w:rPr>
        <w:t>круга Ставропольского края от 29</w:t>
      </w:r>
      <w:r w:rsidRPr="00A4235D">
        <w:rPr>
          <w:rFonts w:ascii="Times New Roman" w:hAnsi="Times New Roman"/>
          <w:sz w:val="28"/>
          <w:szCs w:val="20"/>
          <w:lang w:eastAsia="ru-RU"/>
        </w:rPr>
        <w:t xml:space="preserve"> января 202</w:t>
      </w:r>
      <w:r w:rsidR="0062047A" w:rsidRPr="00A4235D">
        <w:rPr>
          <w:rFonts w:ascii="Times New Roman" w:hAnsi="Times New Roman"/>
          <w:sz w:val="28"/>
          <w:szCs w:val="20"/>
          <w:lang w:eastAsia="ru-RU"/>
        </w:rPr>
        <w:t>1</w:t>
      </w:r>
      <w:r w:rsidRPr="00A4235D">
        <w:rPr>
          <w:rFonts w:ascii="Times New Roman" w:hAnsi="Times New Roman"/>
          <w:sz w:val="28"/>
          <w:szCs w:val="20"/>
          <w:lang w:eastAsia="ru-RU"/>
        </w:rPr>
        <w:t xml:space="preserve"> года №</w:t>
      </w:r>
      <w:r w:rsidR="0062047A" w:rsidRPr="00A4235D">
        <w:rPr>
          <w:rFonts w:ascii="Times New Roman" w:hAnsi="Times New Roman"/>
          <w:sz w:val="28"/>
          <w:szCs w:val="20"/>
          <w:lang w:eastAsia="ru-RU"/>
        </w:rPr>
        <w:t xml:space="preserve"> 97</w:t>
      </w:r>
      <w:r w:rsidRPr="00A4235D">
        <w:rPr>
          <w:rFonts w:ascii="Times New Roman" w:hAnsi="Times New Roman"/>
          <w:sz w:val="28"/>
          <w:szCs w:val="20"/>
          <w:lang w:eastAsia="ru-RU"/>
        </w:rPr>
        <w:t xml:space="preserve"> «</w:t>
      </w:r>
      <w:r w:rsidRPr="00A4235D">
        <w:rPr>
          <w:rFonts w:ascii="Times New Roman" w:hAnsi="Times New Roman"/>
          <w:sz w:val="28"/>
          <w:szCs w:val="28"/>
        </w:rPr>
        <w:t>Об утверждении Перечня объектов Петровского городского округа Ставропольского края, право собственности на которые принадлежит или будет принадлежать Петровскому городскому округу Ставропольского края, в отношении которых планируется заключение концессионных соглашений</w:t>
      </w:r>
      <w:r w:rsidR="0062047A" w:rsidRPr="00A4235D">
        <w:rPr>
          <w:rFonts w:ascii="Times New Roman" w:hAnsi="Times New Roman"/>
          <w:sz w:val="28"/>
          <w:szCs w:val="28"/>
        </w:rPr>
        <w:t>, на 2021 год</w:t>
      </w:r>
      <w:r w:rsidRPr="00A4235D">
        <w:rPr>
          <w:rFonts w:ascii="Times New Roman" w:hAnsi="Times New Roman"/>
          <w:sz w:val="28"/>
          <w:szCs w:val="28"/>
        </w:rPr>
        <w:t>».</w:t>
      </w: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16"/>
          <w:lang w:eastAsia="ru-RU"/>
        </w:rPr>
      </w:pP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35D">
        <w:rPr>
          <w:rFonts w:ascii="Times New Roman" w:hAnsi="Times New Roman"/>
          <w:sz w:val="28"/>
          <w:szCs w:val="20"/>
          <w:lang w:eastAsia="ru-RU"/>
        </w:rPr>
        <w:t xml:space="preserve">4. </w:t>
      </w:r>
      <w:proofErr w:type="gramStart"/>
      <w:r w:rsidRPr="00A4235D">
        <w:rPr>
          <w:rFonts w:ascii="Times New Roman" w:hAnsi="Times New Roman"/>
          <w:sz w:val="28"/>
          <w:szCs w:val="20"/>
          <w:lang w:eastAsia="ru-RU"/>
        </w:rPr>
        <w:t>Контроль за</w:t>
      </w:r>
      <w:proofErr w:type="gramEnd"/>
      <w:r w:rsidRPr="00A4235D">
        <w:rPr>
          <w:rFonts w:ascii="Times New Roman" w:hAnsi="Times New Roman"/>
          <w:sz w:val="28"/>
          <w:szCs w:val="20"/>
          <w:lang w:eastAsia="ru-RU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A4235D">
        <w:rPr>
          <w:rFonts w:ascii="Times New Roman" w:hAnsi="Times New Roman"/>
          <w:sz w:val="28"/>
          <w:szCs w:val="20"/>
          <w:lang w:eastAsia="ru-RU"/>
        </w:rPr>
        <w:t>Сухомлинову</w:t>
      </w:r>
      <w:proofErr w:type="spellEnd"/>
      <w:r w:rsidRPr="00A4235D">
        <w:rPr>
          <w:rFonts w:ascii="Times New Roman" w:hAnsi="Times New Roman"/>
          <w:sz w:val="28"/>
          <w:szCs w:val="20"/>
          <w:lang w:eastAsia="ru-RU"/>
        </w:rPr>
        <w:t xml:space="preserve"> В.П.</w:t>
      </w: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16"/>
          <w:lang w:eastAsia="ru-RU"/>
        </w:rPr>
      </w:pP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35D">
        <w:rPr>
          <w:rFonts w:ascii="Times New Roman" w:hAnsi="Times New Roman"/>
          <w:sz w:val="28"/>
          <w:szCs w:val="20"/>
          <w:lang w:eastAsia="ru-RU"/>
        </w:rPr>
        <w:t>5. Настоящее постановление вступает в силу со дня его подписания.</w:t>
      </w: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35D">
        <w:rPr>
          <w:rFonts w:ascii="Times New Roman" w:hAnsi="Times New Roman"/>
          <w:sz w:val="28"/>
          <w:szCs w:val="20"/>
          <w:lang w:eastAsia="ru-RU"/>
        </w:rPr>
        <w:t xml:space="preserve">Глава Петровского </w:t>
      </w: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35D">
        <w:rPr>
          <w:rFonts w:ascii="Times New Roman" w:hAnsi="Times New Roman"/>
          <w:sz w:val="28"/>
          <w:szCs w:val="20"/>
          <w:lang w:eastAsia="ru-RU"/>
        </w:rPr>
        <w:t xml:space="preserve">городского округа </w:t>
      </w:r>
    </w:p>
    <w:p w:rsidR="00FD26FE" w:rsidRPr="00A4235D" w:rsidRDefault="00FD26FE" w:rsidP="00FD26F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  <w:r w:rsidRPr="00A4235D">
        <w:rPr>
          <w:rFonts w:ascii="Times New Roman" w:hAnsi="Times New Roman"/>
          <w:sz w:val="28"/>
          <w:szCs w:val="20"/>
          <w:lang w:eastAsia="ru-RU"/>
        </w:rPr>
        <w:t xml:space="preserve">Ставропольского края                                                                    </w:t>
      </w:r>
      <w:proofErr w:type="spellStart"/>
      <w:r w:rsidRPr="00A4235D">
        <w:rPr>
          <w:rFonts w:ascii="Times New Roman" w:hAnsi="Times New Roman"/>
          <w:sz w:val="28"/>
          <w:szCs w:val="20"/>
          <w:lang w:eastAsia="ru-RU"/>
        </w:rPr>
        <w:t>А.А.Захарченко</w:t>
      </w:r>
      <w:proofErr w:type="spellEnd"/>
    </w:p>
    <w:p w:rsidR="00276531" w:rsidRPr="00A4235D" w:rsidRDefault="00276531" w:rsidP="00FD26F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76531" w:rsidRDefault="00276531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</w:p>
    <w:p w:rsidR="006121A5" w:rsidRPr="00305570" w:rsidRDefault="006121A5" w:rsidP="00A4235D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400"/>
      </w:tblGrid>
      <w:tr w:rsidR="00A4235D" w:rsidRPr="00A4235D" w:rsidTr="00FD26FE">
        <w:trPr>
          <w:trHeight w:val="1009"/>
        </w:trPr>
        <w:tc>
          <w:tcPr>
            <w:tcW w:w="9400" w:type="dxa"/>
            <w:hideMark/>
          </w:tcPr>
          <w:p w:rsidR="0062047A" w:rsidRPr="00A4235D" w:rsidRDefault="00FD26FE" w:rsidP="0062047A">
            <w:pPr>
              <w:spacing w:after="0" w:line="240" w:lineRule="exact"/>
              <w:ind w:left="524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235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FD26FE" w:rsidRPr="00A4235D" w:rsidRDefault="00FD26FE" w:rsidP="0062047A">
            <w:pPr>
              <w:spacing w:after="0" w:line="240" w:lineRule="exact"/>
              <w:ind w:left="524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235D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  <w:r w:rsidR="0062047A" w:rsidRPr="00A423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235D">
              <w:rPr>
                <w:rFonts w:ascii="Times New Roman" w:eastAsia="Times New Roman" w:hAnsi="Times New Roman"/>
                <w:sz w:val="28"/>
                <w:szCs w:val="28"/>
              </w:rPr>
              <w:t>Петровского городского округа</w:t>
            </w:r>
            <w:r w:rsidR="0062047A" w:rsidRPr="00A423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235D">
              <w:rPr>
                <w:rFonts w:ascii="Times New Roman" w:eastAsia="Times New Roman" w:hAnsi="Times New Roman"/>
                <w:sz w:val="28"/>
                <w:szCs w:val="28"/>
              </w:rPr>
              <w:t>Ставропольского края</w:t>
            </w:r>
          </w:p>
          <w:p w:rsidR="00FD26FE" w:rsidRPr="00A4235D" w:rsidRDefault="00305570">
            <w:pPr>
              <w:spacing w:after="0" w:line="240" w:lineRule="exact"/>
              <w:ind w:left="524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от 27 декабря 2021 г. № 2077</w:t>
            </w:r>
          </w:p>
        </w:tc>
      </w:tr>
    </w:tbl>
    <w:p w:rsidR="00FD26FE" w:rsidRPr="00A4235D" w:rsidRDefault="00FD26FE" w:rsidP="00FD26FE">
      <w:pPr>
        <w:spacing w:after="0" w:line="240" w:lineRule="auto"/>
        <w:ind w:left="-1418" w:right="127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6FE" w:rsidRPr="00A4235D" w:rsidRDefault="00FD26FE" w:rsidP="00FD26FE"/>
    <w:p w:rsidR="00FD26FE" w:rsidRPr="00A4235D" w:rsidRDefault="00FD26FE" w:rsidP="00FD26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4235D">
        <w:rPr>
          <w:rFonts w:ascii="Times New Roman" w:hAnsi="Times New Roman"/>
          <w:sz w:val="28"/>
          <w:szCs w:val="28"/>
        </w:rPr>
        <w:t xml:space="preserve">Перечень </w:t>
      </w:r>
    </w:p>
    <w:p w:rsidR="00FD26FE" w:rsidRPr="00A4235D" w:rsidRDefault="00FD26FE" w:rsidP="00FD26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4235D">
        <w:rPr>
          <w:rFonts w:ascii="Times New Roman" w:hAnsi="Times New Roman"/>
          <w:sz w:val="28"/>
          <w:szCs w:val="28"/>
        </w:rPr>
        <w:t>объектов Петровского городского округа Ставропольского края, право собственности на которые принадлежит или будет принадлежать Петровскому городскому округу Ставропольского края, в отношении которых планируется заключение концессионных соглашений, на 202</w:t>
      </w:r>
      <w:r w:rsidR="009845B2" w:rsidRPr="00A4235D">
        <w:rPr>
          <w:rFonts w:ascii="Times New Roman" w:hAnsi="Times New Roman"/>
          <w:sz w:val="28"/>
          <w:szCs w:val="28"/>
        </w:rPr>
        <w:t>2</w:t>
      </w:r>
      <w:r w:rsidRPr="00A4235D">
        <w:rPr>
          <w:rFonts w:ascii="Times New Roman" w:hAnsi="Times New Roman"/>
          <w:sz w:val="28"/>
          <w:szCs w:val="28"/>
        </w:rPr>
        <w:t xml:space="preserve"> год</w:t>
      </w:r>
    </w:p>
    <w:p w:rsidR="00FD26FE" w:rsidRPr="00A4235D" w:rsidRDefault="00FD26FE" w:rsidP="00FD26F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417"/>
        <w:gridCol w:w="1701"/>
        <w:gridCol w:w="1276"/>
      </w:tblGrid>
      <w:tr w:rsidR="00A4235D" w:rsidRPr="00A4235D" w:rsidTr="00A423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23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23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Наименование объекта,</w:t>
            </w: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Оценочный объем требуемых инвестиций, млн. рублей</w:t>
            </w:r>
          </w:p>
        </w:tc>
      </w:tr>
      <w:tr w:rsidR="00A4235D" w:rsidRPr="00A4235D" w:rsidTr="00A423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4F45AC" w:rsidP="0055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35D">
              <w:rPr>
                <w:rFonts w:ascii="Times New Roman" w:hAnsi="Times New Roman"/>
                <w:sz w:val="24"/>
                <w:szCs w:val="24"/>
              </w:rPr>
              <w:t xml:space="preserve">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(профильный) центр «Родничок» в </w:t>
            </w:r>
            <w:r w:rsidR="00A4235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>с.</w:t>
            </w:r>
            <w:r w:rsidR="00A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>Го</w:t>
            </w:r>
            <w:r w:rsidR="00130AA3" w:rsidRPr="00A4235D">
              <w:rPr>
                <w:rFonts w:ascii="Times New Roman" w:hAnsi="Times New Roman"/>
                <w:sz w:val="24"/>
                <w:szCs w:val="24"/>
              </w:rPr>
              <w:t xml:space="preserve">фицкое, </w:t>
            </w:r>
            <w:r w:rsidR="00A4235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130AA3" w:rsidRPr="00A4235D">
              <w:rPr>
                <w:rFonts w:ascii="Times New Roman" w:hAnsi="Times New Roman"/>
                <w:sz w:val="24"/>
                <w:szCs w:val="24"/>
              </w:rPr>
              <w:t>ул. Виноградная, 1А, 1Б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>,</w:t>
            </w:r>
            <w:r w:rsidR="00A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4EB" w:rsidRPr="00A4235D">
              <w:rPr>
                <w:rFonts w:ascii="Times New Roman" w:hAnsi="Times New Roman"/>
                <w:sz w:val="24"/>
                <w:szCs w:val="24"/>
              </w:rPr>
              <w:t>адрес объекта:</w:t>
            </w:r>
            <w:proofErr w:type="gramEnd"/>
            <w:r w:rsidR="005544EB" w:rsidRPr="00A42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6FE" w:rsidRPr="00A4235D">
              <w:rPr>
                <w:rFonts w:ascii="Times New Roman" w:hAnsi="Times New Roman"/>
                <w:sz w:val="24"/>
                <w:szCs w:val="24"/>
              </w:rPr>
              <w:t>Ставропольский край, Петровский район,           село Гофицкое, улица Виноградная,1А,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260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2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Деятельность по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68,958</w:t>
            </w:r>
          </w:p>
        </w:tc>
      </w:tr>
      <w:tr w:rsidR="00A4235D" w:rsidRPr="00A4235D" w:rsidTr="00A423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EB" w:rsidRPr="00A4235D" w:rsidRDefault="009845B2" w:rsidP="0055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Создание и реконструкция объекта спорта,</w:t>
            </w:r>
            <w:r w:rsidR="005544EB" w:rsidRPr="00A4235D">
              <w:rPr>
                <w:rFonts w:ascii="Times New Roman" w:hAnsi="Times New Roman"/>
                <w:sz w:val="24"/>
                <w:szCs w:val="24"/>
              </w:rPr>
              <w:t xml:space="preserve"> расположенного по адресу: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Ставропольский край, Петровский район, </w:t>
            </w:r>
            <w:r w:rsidR="00A4235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>г</w:t>
            </w:r>
            <w:r w:rsidR="005544EB" w:rsidRPr="00A4235D">
              <w:rPr>
                <w:rFonts w:ascii="Times New Roman" w:hAnsi="Times New Roman"/>
                <w:sz w:val="24"/>
                <w:szCs w:val="24"/>
              </w:rPr>
              <w:t>.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 xml:space="preserve"> Светлоград, </w:t>
            </w:r>
            <w:r w:rsidR="00A4235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>пл</w:t>
            </w:r>
            <w:r w:rsidR="005544EB" w:rsidRPr="00A4235D">
              <w:rPr>
                <w:rFonts w:ascii="Times New Roman" w:hAnsi="Times New Roman"/>
                <w:sz w:val="24"/>
                <w:szCs w:val="24"/>
              </w:rPr>
              <w:t xml:space="preserve">. Выставочная, 60, </w:t>
            </w:r>
          </w:p>
          <w:p w:rsidR="00FD26FE" w:rsidRPr="00A4235D" w:rsidRDefault="005544EB" w:rsidP="00554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lastRenderedPageBreak/>
              <w:t>адрес объекта: Российская Федерация, Ставропольский край, Петровский район, город Светлоград, площадь Выставочная,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620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lastRenderedPageBreak/>
              <w:t>Создание и р</w:t>
            </w:r>
            <w:r w:rsidR="00FD26FE" w:rsidRPr="00A4235D">
              <w:rPr>
                <w:rFonts w:ascii="Times New Roman" w:hAnsi="Times New Roman"/>
                <w:sz w:val="24"/>
                <w:szCs w:val="24"/>
              </w:rPr>
              <w:t>еконструкция</w:t>
            </w:r>
          </w:p>
          <w:p w:rsidR="0062047A" w:rsidRPr="00A4235D" w:rsidRDefault="00620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620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Пропускная способность 280 человек в час, не менее 3500 человек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620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- деятельность в области спорта;</w:t>
            </w:r>
          </w:p>
          <w:p w:rsidR="0062047A" w:rsidRPr="00A4235D" w:rsidRDefault="00620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- деятельность спортивных объектов</w:t>
            </w:r>
            <w:r w:rsidR="00276531" w:rsidRPr="00A423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531" w:rsidRPr="00A4235D" w:rsidRDefault="002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- прочая деятельность в области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9845B2" w:rsidP="0027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190,</w:t>
            </w:r>
            <w:r w:rsidR="00276531" w:rsidRPr="00A4235D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</w:tr>
      <w:tr w:rsidR="00A4235D" w:rsidRPr="00A4235D" w:rsidTr="00A423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 xml:space="preserve">Объект недвижимости (плавательный бассейн на территории  муниципального бюджетного учреждения «Физкультурно-оздоровительный комплекс «Победа»), </w:t>
            </w:r>
            <w:r w:rsidR="005544EB" w:rsidRPr="00A4235D">
              <w:rPr>
                <w:rFonts w:ascii="Times New Roman" w:hAnsi="Times New Roman"/>
                <w:sz w:val="24"/>
                <w:szCs w:val="24"/>
              </w:rPr>
              <w:t xml:space="preserve">адрес объекта: </w:t>
            </w: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Ставропольский край,</w:t>
            </w: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Петровский район,</w:t>
            </w: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 xml:space="preserve">город Светлоград, </w:t>
            </w: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переулок Садовый, 28б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80</w:t>
            </w:r>
            <w:r w:rsidRPr="00A4235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4235D">
              <w:rPr>
                <w:rFonts w:ascii="Times New Roman" w:hAnsi="Times New Roman"/>
                <w:sz w:val="24"/>
                <w:szCs w:val="24"/>
              </w:rPr>
              <w:t>50 кв. м</w:t>
            </w: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(площадь)</w:t>
            </w: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40 человек в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276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С</w:t>
            </w:r>
            <w:r w:rsidR="00FD26FE" w:rsidRPr="00A4235D">
              <w:rPr>
                <w:rFonts w:ascii="Times New Roman" w:hAnsi="Times New Roman"/>
                <w:sz w:val="24"/>
                <w:szCs w:val="24"/>
              </w:rPr>
              <w:t>оциальная 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6FE" w:rsidRPr="00A4235D" w:rsidRDefault="00FD2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5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FD26FE" w:rsidRPr="00A4235D" w:rsidRDefault="00FD26FE" w:rsidP="00FD26FE">
      <w:pPr>
        <w:spacing w:after="0" w:line="240" w:lineRule="exact"/>
      </w:pPr>
    </w:p>
    <w:p w:rsidR="00FD26FE" w:rsidRPr="00A4235D" w:rsidRDefault="00FD26FE" w:rsidP="00FD26FE">
      <w:pPr>
        <w:spacing w:after="0" w:line="240" w:lineRule="exact"/>
      </w:pPr>
    </w:p>
    <w:p w:rsidR="00FD26FE" w:rsidRPr="00A4235D" w:rsidRDefault="00FD26FE" w:rsidP="00FD26F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35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FD26FE" w:rsidRPr="00A4235D" w:rsidRDefault="00FD26FE" w:rsidP="00FD26F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235D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Петровского городского округа </w:t>
      </w:r>
    </w:p>
    <w:p w:rsidR="00FD26FE" w:rsidRPr="00A4235D" w:rsidRDefault="00FD26FE" w:rsidP="00FD26FE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23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</w:t>
      </w:r>
      <w:r w:rsidR="00A423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A4235D">
        <w:rPr>
          <w:rFonts w:ascii="Times New Roman" w:eastAsia="Times New Roman" w:hAnsi="Times New Roman"/>
          <w:sz w:val="28"/>
          <w:szCs w:val="28"/>
          <w:lang w:eastAsia="ru-RU"/>
        </w:rPr>
        <w:t>Ю.В.</w:t>
      </w:r>
      <w:r w:rsidRPr="00A4235D">
        <w:rPr>
          <w:rFonts w:ascii="Times New Roman" w:eastAsia="Times New Roman" w:hAnsi="Times New Roman"/>
          <w:sz w:val="28"/>
          <w:szCs w:val="28"/>
          <w:lang w:eastAsia="ru-RU"/>
        </w:rPr>
        <w:t>Петрич</w:t>
      </w:r>
      <w:proofErr w:type="spellEnd"/>
    </w:p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/>
    <w:p w:rsidR="00FD26FE" w:rsidRPr="00A4235D" w:rsidRDefault="00FD26FE" w:rsidP="00FD26FE">
      <w:pPr>
        <w:pStyle w:val="ConsPlusNormal"/>
        <w:jc w:val="both"/>
        <w:outlineLvl w:val="0"/>
      </w:pPr>
    </w:p>
    <w:p w:rsidR="00574AFB" w:rsidRPr="00A4235D" w:rsidRDefault="00574AFB"/>
    <w:sectPr w:rsidR="00574AFB" w:rsidRPr="00A4235D" w:rsidSect="00A4235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E5"/>
    <w:rsid w:val="000037E5"/>
    <w:rsid w:val="000F2827"/>
    <w:rsid w:val="00130AA3"/>
    <w:rsid w:val="00276531"/>
    <w:rsid w:val="00305570"/>
    <w:rsid w:val="004F45AC"/>
    <w:rsid w:val="005544EB"/>
    <w:rsid w:val="00574AFB"/>
    <w:rsid w:val="006121A5"/>
    <w:rsid w:val="0062047A"/>
    <w:rsid w:val="009845B2"/>
    <w:rsid w:val="00A4235D"/>
    <w:rsid w:val="00A80350"/>
    <w:rsid w:val="00D60BA6"/>
    <w:rsid w:val="00E56EB8"/>
    <w:rsid w:val="00FD26FE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26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26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D6D001F82F5B9B202FC2A4488654E3B1BB9541FD4E96C2C5EAB1BAD92A58DDDFAD928A992A4E385B91412F803D7DC13C8D9B43B833J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user</cp:lastModifiedBy>
  <cp:revision>3</cp:revision>
  <cp:lastPrinted>2021-12-28T05:53:00Z</cp:lastPrinted>
  <dcterms:created xsi:type="dcterms:W3CDTF">2021-12-28T05:53:00Z</dcterms:created>
  <dcterms:modified xsi:type="dcterms:W3CDTF">2022-01-25T13:30:00Z</dcterms:modified>
</cp:coreProperties>
</file>