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CA" w:rsidRDefault="00D86DCA">
      <w:pPr>
        <w:pStyle w:val="a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86DCA" w:rsidRDefault="00866D04">
      <w:pPr>
        <w:pStyle w:val="a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86DCA" w:rsidRDefault="00866D04">
      <w:pPr>
        <w:pStyle w:val="a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выполнения Перечня </w:t>
      </w:r>
      <w:r>
        <w:rPr>
          <w:rStyle w:val="FontStyle11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по содействию развитию конкуренции</w:t>
      </w:r>
    </w:p>
    <w:p w:rsidR="00D86DCA" w:rsidRDefault="00866D04">
      <w:pPr>
        <w:pStyle w:val="a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Петровского городского округа Ставропольского края за 2022 год</w:t>
      </w:r>
    </w:p>
    <w:p w:rsidR="00D86DCA" w:rsidRDefault="00D86DCA">
      <w:pPr>
        <w:pStyle w:val="a9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6DCA" w:rsidRDefault="00D86DCA">
      <w:pPr>
        <w:pStyle w:val="a9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876" w:type="dxa"/>
        <w:tblLayout w:type="fixed"/>
        <w:tblLook w:val="04A0" w:firstRow="1" w:lastRow="0" w:firstColumn="1" w:lastColumn="0" w:noHBand="0" w:noVBand="1"/>
      </w:tblPr>
      <w:tblGrid>
        <w:gridCol w:w="505"/>
        <w:gridCol w:w="2548"/>
        <w:gridCol w:w="2677"/>
        <w:gridCol w:w="1332"/>
        <w:gridCol w:w="1307"/>
        <w:gridCol w:w="1562"/>
        <w:gridCol w:w="5945"/>
      </w:tblGrid>
      <w:tr w:rsidR="00D86DCA">
        <w:trPr>
          <w:trHeight w:val="855"/>
        </w:trPr>
        <w:tc>
          <w:tcPr>
            <w:tcW w:w="504" w:type="dxa"/>
            <w:vMerge w:val="restart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  <w:vMerge w:val="restart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2677" w:type="dxa"/>
            <w:vMerge w:val="restart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332" w:type="dxa"/>
            <w:vMerge w:val="restart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ключевого показателя</w:t>
            </w:r>
          </w:p>
        </w:tc>
        <w:tc>
          <w:tcPr>
            <w:tcW w:w="2869" w:type="dxa"/>
            <w:gridSpan w:val="2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ключевого показателя в 2022 г.</w:t>
            </w:r>
          </w:p>
        </w:tc>
        <w:tc>
          <w:tcPr>
            <w:tcW w:w="5945" w:type="dxa"/>
            <w:vMerge w:val="restart"/>
            <w:vAlign w:val="center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CA">
        <w:trPr>
          <w:trHeight w:val="245"/>
        </w:trPr>
        <w:tc>
          <w:tcPr>
            <w:tcW w:w="504" w:type="dxa"/>
            <w:vMerge/>
            <w:vAlign w:val="center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vAlign w:val="center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62" w:type="dxa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5945" w:type="dxa"/>
            <w:vMerge/>
            <w:vAlign w:val="center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CA">
        <w:tc>
          <w:tcPr>
            <w:tcW w:w="504" w:type="dxa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D86DCA" w:rsidRDefault="00866D04">
            <w:pPr>
              <w:pStyle w:val="a4"/>
              <w:shd w:val="clear" w:color="auto" w:fill="auto"/>
              <w:spacing w:before="0" w:after="0" w:line="240" w:lineRule="exact"/>
              <w:jc w:val="both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677" w:type="dxa"/>
          </w:tcPr>
          <w:p w:rsidR="00D86DCA" w:rsidRDefault="00866D04">
            <w:pPr>
              <w:widowControl w:val="0"/>
              <w:spacing w:after="0" w:line="240" w:lineRule="exact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конкуренции на рынке услуг дошкольного образования</w:t>
            </w:r>
          </w:p>
        </w:tc>
        <w:tc>
          <w:tcPr>
            <w:tcW w:w="133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07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945" w:type="dxa"/>
          </w:tcPr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31.12.2022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дошкольного возраста в муниципальных дошкольных образовательных организациях Петровского городского округа, реализующих основные общеобразовательные программы образовательные программы дошкольного образования</w:t>
            </w:r>
            <w:proofErr w:type="gramEnd"/>
          </w:p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2831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организации (в том числе филиалы) частной формы собственности, оказывающие образовательные услуги в сфере дошкольного образования, на территории Петровского городского округа отсутствуют.</w:t>
            </w:r>
          </w:p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Альтернативными (вариативными) формами дошкольного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являются группы кратковременного пребывания, организованные индивидуальными предпринимателями:</w:t>
            </w:r>
          </w:p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Карапетян С.И.- «Центр раннего развития детей «Радуга»,</w:t>
            </w:r>
          </w:p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С.Н.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население) - группа кратковременного</w:t>
            </w:r>
          </w:p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пребывания по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к школе, логопедическая помощь и дополнительные занятия с детьми младшего школьного возраста.</w:t>
            </w:r>
          </w:p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дошкольного возраста, которым в 2022 году оказаны услуги дошкольного образования индивидуальными предпринимателями, реализующими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программы дошкольного образования, составляет 90 чел.</w:t>
            </w:r>
          </w:p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ключевого показателя «Развитие конкуренции на рынке услуг дошкольного образования» за 2022 год составляет:</w:t>
            </w:r>
          </w:p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x100%=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90/2831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x100%=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86DCA">
        <w:tc>
          <w:tcPr>
            <w:tcW w:w="504" w:type="dxa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8" w:type="dxa"/>
          </w:tcPr>
          <w:p w:rsidR="00D86DCA" w:rsidRDefault="00866D04">
            <w:pPr>
              <w:pStyle w:val="a4"/>
              <w:shd w:val="clear" w:color="auto" w:fill="auto"/>
              <w:spacing w:before="0" w:after="0" w:line="240" w:lineRule="exact"/>
              <w:jc w:val="both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Рынок услуг розничной торговли </w:t>
            </w:r>
            <w:r>
              <w:rPr>
                <w:sz w:val="24"/>
                <w:szCs w:val="24"/>
              </w:rPr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2677" w:type="dxa"/>
          </w:tcPr>
          <w:p w:rsidR="00D86DCA" w:rsidRDefault="00866D04">
            <w:pPr>
              <w:widowControl w:val="0"/>
              <w:spacing w:after="0" w:line="240" w:lineRule="exact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 Ставропольском крае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3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56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</w:tcPr>
          <w:p w:rsidR="00D86DCA" w:rsidRDefault="00866D04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Петровского городского округа осуществляют свою деятельность 33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частной формы собственности.</w:t>
            </w:r>
          </w:p>
          <w:p w:rsidR="00D86DCA" w:rsidRDefault="00866D04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методикой расчета ключевой показатель составит:</w:t>
            </w:r>
          </w:p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100%=33/33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100%=100%</w:t>
            </w:r>
          </w:p>
        </w:tc>
      </w:tr>
      <w:tr w:rsidR="00D86DCA">
        <w:tc>
          <w:tcPr>
            <w:tcW w:w="504" w:type="dxa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D86DCA" w:rsidRDefault="00866D04">
            <w:pPr>
              <w:pStyle w:val="a4"/>
              <w:shd w:val="clear" w:color="auto" w:fill="auto"/>
              <w:spacing w:before="0" w:after="0" w:line="240" w:lineRule="exact"/>
              <w:jc w:val="both"/>
            </w:pPr>
            <w:r>
              <w:rPr>
                <w:sz w:val="24"/>
                <w:szCs w:val="24"/>
              </w:rPr>
              <w:t xml:space="preserve">Рынок выполнения работ по </w:t>
            </w:r>
            <w:r>
              <w:rPr>
                <w:sz w:val="24"/>
                <w:szCs w:val="24"/>
              </w:rPr>
              <w:t>благоустройству городской среды</w:t>
            </w:r>
          </w:p>
        </w:tc>
        <w:tc>
          <w:tcPr>
            <w:tcW w:w="2677" w:type="dxa"/>
          </w:tcPr>
          <w:p w:rsidR="00D86DCA" w:rsidRDefault="00866D04">
            <w:pPr>
              <w:widowControl w:val="0"/>
              <w:spacing w:after="0" w:line="240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конкуренции на рынке благоустройства городской среды</w:t>
            </w:r>
          </w:p>
        </w:tc>
        <w:tc>
          <w:tcPr>
            <w:tcW w:w="133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</w:tcPr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услуг оказываемых организациями частной формы собственности в сфере выполнения работ по благоустройству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 городского округа Ставропольского края выполнена в полном объеме.</w:t>
            </w:r>
          </w:p>
        </w:tc>
      </w:tr>
      <w:tr w:rsidR="00D86DCA">
        <w:tc>
          <w:tcPr>
            <w:tcW w:w="504" w:type="dxa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D86DCA" w:rsidRDefault="00866D04">
            <w:pPr>
              <w:pStyle w:val="a4"/>
              <w:shd w:val="clear" w:color="auto" w:fill="auto"/>
              <w:spacing w:before="0" w:after="0" w:line="240" w:lineRule="exact"/>
              <w:jc w:val="both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677" w:type="dxa"/>
          </w:tcPr>
          <w:p w:rsidR="00D86DCA" w:rsidRDefault="00866D04">
            <w:pPr>
              <w:widowControl w:val="0"/>
              <w:spacing w:after="0" w:line="240" w:lineRule="exact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конкуренции на рынке оказания услуг по </w:t>
            </w:r>
            <w:r>
              <w:rPr>
                <w:rFonts w:ascii="Times New Roman" w:hAnsi="Times New Roman"/>
                <w:sz w:val="24"/>
                <w:szCs w:val="24"/>
              </w:rPr>
              <w:t>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33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2" w:type="dxa"/>
          </w:tcPr>
          <w:p w:rsidR="00D86DCA" w:rsidRDefault="00D86D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 в сфере перевозок пассажиров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по муниципальным маршрутам регулярных перевозок в Петровском городском округе Ставропольского края организациями частной формы собственности оказаны (выполнены) в полном объеме.</w:t>
            </w:r>
          </w:p>
        </w:tc>
      </w:tr>
      <w:tr w:rsidR="00D86DCA">
        <w:tc>
          <w:tcPr>
            <w:tcW w:w="504" w:type="dxa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:rsidR="00D86DCA" w:rsidRDefault="00866D04">
            <w:pPr>
              <w:pStyle w:val="a4"/>
              <w:shd w:val="clear" w:color="auto" w:fill="auto"/>
              <w:spacing w:before="0" w:after="0" w:line="240" w:lineRule="exact"/>
              <w:jc w:val="both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Рынок оказания услуг по перевозке пассажиров и </w:t>
            </w:r>
            <w:r>
              <w:rPr>
                <w:sz w:val="24"/>
                <w:szCs w:val="24"/>
              </w:rPr>
              <w:t>багажа легковым такси на территории округа</w:t>
            </w:r>
          </w:p>
        </w:tc>
        <w:tc>
          <w:tcPr>
            <w:tcW w:w="2677" w:type="dxa"/>
          </w:tcPr>
          <w:p w:rsidR="00D86DCA" w:rsidRDefault="00866D04">
            <w:pPr>
              <w:widowControl w:val="0"/>
              <w:spacing w:after="0" w:line="240" w:lineRule="exact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конкуренции в сфере услуг по перевозке пассажиров и багажа легковым такси</w:t>
            </w:r>
          </w:p>
        </w:tc>
        <w:tc>
          <w:tcPr>
            <w:tcW w:w="1332" w:type="dxa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2" w:type="dxa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</w:tcPr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по перевозке пассажиров и багажа легковым такси на территории Петровского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осуществляется организациями частной формы собственности, оказаны (выполнены) в полном объеме.</w:t>
            </w:r>
          </w:p>
        </w:tc>
      </w:tr>
      <w:tr w:rsidR="00D86DCA">
        <w:tc>
          <w:tcPr>
            <w:tcW w:w="504" w:type="dxa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D86DCA" w:rsidRDefault="00866D04">
            <w:pPr>
              <w:pStyle w:val="a4"/>
              <w:shd w:val="clear" w:color="auto" w:fill="auto"/>
              <w:spacing w:before="0" w:after="0" w:line="240" w:lineRule="exact"/>
              <w:jc w:val="both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Рынок услуг связи, в том числе услуг по </w:t>
            </w:r>
            <w:r>
              <w:rPr>
                <w:sz w:val="24"/>
                <w:szCs w:val="24"/>
              </w:rPr>
              <w:lastRenderedPageBreak/>
              <w:t>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677" w:type="dxa"/>
          </w:tcPr>
          <w:p w:rsidR="00D86DCA" w:rsidRDefault="00866D04">
            <w:pPr>
              <w:widowControl w:val="0"/>
              <w:spacing w:after="0" w:line="240" w:lineRule="exact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конкуренции на рынке услуг связи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33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07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56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5945" w:type="dxa"/>
          </w:tcPr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Петровского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Ставропольского края услуги связи, в том числе 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предоставлению широкополосного доступа к информационно-телекоммуникационной сети «Интернет» для населения округа предоставляют 8 коммерческих организаций частной формы собственности.</w:t>
            </w:r>
          </w:p>
        </w:tc>
      </w:tr>
      <w:tr w:rsidR="00D86DCA">
        <w:tc>
          <w:tcPr>
            <w:tcW w:w="504" w:type="dxa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8" w:type="dxa"/>
          </w:tcPr>
          <w:p w:rsidR="00D86DCA" w:rsidRDefault="00866D04">
            <w:pPr>
              <w:pStyle w:val="a4"/>
              <w:shd w:val="clear" w:color="auto" w:fill="auto"/>
              <w:spacing w:before="0" w:after="0" w:line="240" w:lineRule="exact"/>
              <w:jc w:val="both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2677" w:type="dxa"/>
          </w:tcPr>
          <w:p w:rsidR="00D86DCA" w:rsidRDefault="00866D04">
            <w:pPr>
              <w:widowControl w:val="0"/>
              <w:spacing w:after="0" w:line="240" w:lineRule="exact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конкуренции на рынке дорожной деятельности (за исключением проектирования)</w:t>
            </w:r>
          </w:p>
        </w:tc>
        <w:tc>
          <w:tcPr>
            <w:tcW w:w="133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</w:tcPr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на территории Петровского городского округа Ставропольского края представляют организации частной формы собственности.</w:t>
            </w:r>
          </w:p>
          <w:p w:rsidR="00D86DCA" w:rsidRDefault="00D86D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6DCA">
        <w:tc>
          <w:tcPr>
            <w:tcW w:w="504" w:type="dxa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:rsidR="00D86DCA" w:rsidRDefault="00866D04">
            <w:pPr>
              <w:pStyle w:val="a4"/>
              <w:shd w:val="clear" w:color="auto" w:fill="auto"/>
              <w:spacing w:before="0" w:after="0" w:line="240" w:lineRule="exact"/>
              <w:jc w:val="both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677" w:type="dxa"/>
          </w:tcPr>
          <w:p w:rsidR="00D86DCA" w:rsidRDefault="00866D04">
            <w:pPr>
              <w:widowControl w:val="0"/>
              <w:spacing w:after="0" w:line="240" w:lineRule="exact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конкуренции на рынке архитектурно-строительного проектирования</w:t>
            </w:r>
          </w:p>
        </w:tc>
        <w:tc>
          <w:tcPr>
            <w:tcW w:w="133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</w:tcPr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конкуренции на рынке архитектурно-строительного проектирования в 2022 году составил: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100%=1\1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100%=100%</w:t>
            </w:r>
          </w:p>
        </w:tc>
      </w:tr>
      <w:tr w:rsidR="00D86DCA">
        <w:tc>
          <w:tcPr>
            <w:tcW w:w="504" w:type="dxa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:rsidR="00D86DCA" w:rsidRDefault="00866D04">
            <w:pPr>
              <w:pStyle w:val="a4"/>
              <w:shd w:val="clear" w:color="auto" w:fill="auto"/>
              <w:spacing w:before="0" w:after="0" w:line="240" w:lineRule="exact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677" w:type="dxa"/>
          </w:tcPr>
          <w:p w:rsidR="00D86DCA" w:rsidRDefault="00866D04">
            <w:pPr>
              <w:widowControl w:val="0"/>
              <w:spacing w:after="0" w:line="240" w:lineRule="exac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конкуренции на рынке реализации сельскохозяйственной продукции</w:t>
            </w:r>
          </w:p>
        </w:tc>
        <w:tc>
          <w:tcPr>
            <w:tcW w:w="133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2" w:type="dxa"/>
          </w:tcPr>
          <w:p w:rsidR="00D86DCA" w:rsidRDefault="00D86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45" w:type="dxa"/>
          </w:tcPr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Рынок реализации сельскохозяйственной продукции на территории Петровского городского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 Ставропольского края представлен организациями частной формы собственности. Федеральные государственные унитарные предприятия, государственные корпорации, государственные компании, федеральные бюджетные учреждения, федеральные автономные учреждения,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федеральные казенные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реализующие сельскохозяйственную продукцию на территории Петровского городского округа отсутствуют.</w:t>
            </w:r>
          </w:p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2022 году на территории округа производством сельскохозяйственной продукции занималось 21 предприятие (включая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микропредп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100 крестьянских (фермерских) хозяйств и 12,5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подсобных хозяйств. Крупными и средними сельскохозяйственными предприятиями отгружено товаров собственного производства на сумму 5258,0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1" w:name="_GoBack1"/>
            <w:bookmarkEnd w:id="1"/>
          </w:p>
        </w:tc>
      </w:tr>
      <w:tr w:rsidR="00D86DCA">
        <w:tc>
          <w:tcPr>
            <w:tcW w:w="504" w:type="dxa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D86DCA" w:rsidRDefault="00866D04">
            <w:pPr>
              <w:pStyle w:val="a4"/>
              <w:shd w:val="clear" w:color="auto" w:fill="auto"/>
              <w:spacing w:before="0" w:after="0" w:line="240" w:lineRule="exact"/>
              <w:jc w:val="both"/>
              <w:rPr>
                <w:rStyle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2677" w:type="dxa"/>
          </w:tcPr>
          <w:p w:rsidR="00D86DCA" w:rsidRDefault="00866D04">
            <w:pPr>
              <w:widowControl w:val="0"/>
              <w:spacing w:after="0" w:line="240" w:lineRule="exact"/>
              <w:jc w:val="both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конкур</w:t>
            </w:r>
            <w:r>
              <w:rPr>
                <w:rFonts w:ascii="Times New Roman" w:hAnsi="Times New Roman"/>
                <w:sz w:val="24"/>
                <w:szCs w:val="24"/>
              </w:rPr>
              <w:t>енции в сфере наружной рекламы</w:t>
            </w:r>
          </w:p>
        </w:tc>
        <w:tc>
          <w:tcPr>
            <w:tcW w:w="1332" w:type="dxa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Style w:val="1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307" w:type="dxa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2" w:type="dxa"/>
            <w:vAlign w:val="center"/>
          </w:tcPr>
          <w:p w:rsidR="00D86DCA" w:rsidRDefault="00866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45" w:type="dxa"/>
          </w:tcPr>
          <w:p w:rsidR="00D86DCA" w:rsidRDefault="00866D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Петровского городского округа Ставропольского края установлено 32 рекламных конструкции, в соответствии с разрешениями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выдачу и установку рекламных конструкций. На территории округа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 предприятия с государственным участием, осуществляющие свою деятельность в сфере наружной рекламы. Таким образом произвести расчеты ключевого показателя развития конкуренции в сфере наружной рекламы не представляется возможным</w:t>
            </w:r>
          </w:p>
        </w:tc>
      </w:tr>
    </w:tbl>
    <w:p w:rsidR="00D86DCA" w:rsidRDefault="00D86DCA">
      <w:pPr>
        <w:rPr>
          <w:color w:val="FF0000"/>
        </w:rPr>
      </w:pPr>
    </w:p>
    <w:sectPr w:rsidR="00D86DCA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CA"/>
    <w:rsid w:val="00866D04"/>
    <w:rsid w:val="00D8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507661"/>
    <w:rPr>
      <w:rFonts w:ascii="Times New Roman" w:hAnsi="Times New Roman" w:cs="Times New Roman"/>
      <w:sz w:val="28"/>
      <w:szCs w:val="28"/>
    </w:rPr>
  </w:style>
  <w:style w:type="character" w:customStyle="1" w:styleId="a3">
    <w:name w:val="Основной текст Знак"/>
    <w:basedOn w:val="a0"/>
    <w:uiPriority w:val="99"/>
    <w:semiHidden/>
    <w:qFormat/>
    <w:rsid w:val="0037766F"/>
  </w:style>
  <w:style w:type="character" w:customStyle="1" w:styleId="1">
    <w:name w:val="Основной текст Знак1"/>
    <w:basedOn w:val="a0"/>
    <w:link w:val="a4"/>
    <w:uiPriority w:val="99"/>
    <w:qFormat/>
    <w:locked/>
    <w:rsid w:val="0037766F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qFormat/>
    <w:locked/>
    <w:rsid w:val="001565BC"/>
    <w:rPr>
      <w:spacing w:val="-4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1"/>
    <w:qFormat/>
    <w:rPr>
      <w:rFonts w:ascii="Times New Roman" w:eastAsia="Times New Roman" w:hAnsi="Times New Roman" w:cs="Times New Roman"/>
      <w:spacing w:val="-5"/>
      <w:sz w:val="26"/>
      <w:szCs w:val="26"/>
      <w:u w:val="none"/>
      <w:shd w:val="clear" w:color="auto" w:fill="FFFFFF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1"/>
    <w:uiPriority w:val="99"/>
    <w:unhideWhenUsed/>
    <w:rsid w:val="0037766F"/>
    <w:pPr>
      <w:widowControl w:val="0"/>
      <w:shd w:val="clear" w:color="auto" w:fill="FFFFFF"/>
      <w:spacing w:before="240" w:after="240" w:line="638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styleId="a6">
    <w:name w:val="List"/>
    <w:basedOn w:val="a4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507661"/>
    <w:rPr>
      <w:rFonts w:eastAsia="Times New Roman" w:cs="Times New Roman"/>
    </w:rPr>
  </w:style>
  <w:style w:type="paragraph" w:customStyle="1" w:styleId="20">
    <w:name w:val="Подпись к таблице (2)"/>
    <w:basedOn w:val="a"/>
    <w:link w:val="2"/>
    <w:uiPriority w:val="99"/>
    <w:qFormat/>
    <w:rsid w:val="001565BC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  <w:style w:type="table" w:styleId="aa">
    <w:name w:val="Table Grid"/>
    <w:basedOn w:val="a1"/>
    <w:uiPriority w:val="59"/>
    <w:rsid w:val="00507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507661"/>
    <w:rPr>
      <w:rFonts w:ascii="Times New Roman" w:hAnsi="Times New Roman" w:cs="Times New Roman"/>
      <w:sz w:val="28"/>
      <w:szCs w:val="28"/>
    </w:rPr>
  </w:style>
  <w:style w:type="character" w:customStyle="1" w:styleId="a3">
    <w:name w:val="Основной текст Знак"/>
    <w:basedOn w:val="a0"/>
    <w:uiPriority w:val="99"/>
    <w:semiHidden/>
    <w:qFormat/>
    <w:rsid w:val="0037766F"/>
  </w:style>
  <w:style w:type="character" w:customStyle="1" w:styleId="1">
    <w:name w:val="Основной текст Знак1"/>
    <w:basedOn w:val="a0"/>
    <w:link w:val="a4"/>
    <w:uiPriority w:val="99"/>
    <w:qFormat/>
    <w:locked/>
    <w:rsid w:val="0037766F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0"/>
    <w:uiPriority w:val="99"/>
    <w:qFormat/>
    <w:locked/>
    <w:rsid w:val="001565BC"/>
    <w:rPr>
      <w:spacing w:val="-4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1"/>
    <w:qFormat/>
    <w:rPr>
      <w:rFonts w:ascii="Times New Roman" w:eastAsia="Times New Roman" w:hAnsi="Times New Roman" w:cs="Times New Roman"/>
      <w:spacing w:val="-5"/>
      <w:sz w:val="26"/>
      <w:szCs w:val="26"/>
      <w:u w:val="none"/>
      <w:shd w:val="clear" w:color="auto" w:fill="FFFFFF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1"/>
    <w:uiPriority w:val="99"/>
    <w:unhideWhenUsed/>
    <w:rsid w:val="0037766F"/>
    <w:pPr>
      <w:widowControl w:val="0"/>
      <w:shd w:val="clear" w:color="auto" w:fill="FFFFFF"/>
      <w:spacing w:before="240" w:after="240" w:line="638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styleId="a6">
    <w:name w:val="List"/>
    <w:basedOn w:val="a4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507661"/>
    <w:rPr>
      <w:rFonts w:eastAsia="Times New Roman" w:cs="Times New Roman"/>
    </w:rPr>
  </w:style>
  <w:style w:type="paragraph" w:customStyle="1" w:styleId="20">
    <w:name w:val="Подпись к таблице (2)"/>
    <w:basedOn w:val="a"/>
    <w:link w:val="2"/>
    <w:uiPriority w:val="99"/>
    <w:qFormat/>
    <w:rsid w:val="001565BC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  <w:style w:type="table" w:styleId="aa">
    <w:name w:val="Table Grid"/>
    <w:basedOn w:val="a1"/>
    <w:uiPriority w:val="59"/>
    <w:rsid w:val="00507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</dc:creator>
  <cp:lastModifiedBy>Marina</cp:lastModifiedBy>
  <cp:revision>2</cp:revision>
  <cp:lastPrinted>2023-02-10T16:57:00Z</cp:lastPrinted>
  <dcterms:created xsi:type="dcterms:W3CDTF">2023-11-08T13:07:00Z</dcterms:created>
  <dcterms:modified xsi:type="dcterms:W3CDTF">2023-11-08T13:07:00Z</dcterms:modified>
  <dc:language>ru-RU</dc:language>
</cp:coreProperties>
</file>