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1" w:rsidRDefault="00507661" w:rsidP="00507661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5262E" w:rsidRDefault="00507661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выполнения Перечня </w:t>
      </w:r>
      <w:r w:rsidRPr="00977DB7">
        <w:rPr>
          <w:rStyle w:val="FontStyle11"/>
        </w:rPr>
        <w:t>мероприяти</w:t>
      </w:r>
      <w:r>
        <w:rPr>
          <w:rStyle w:val="FontStyle11"/>
        </w:rPr>
        <w:t xml:space="preserve">й </w:t>
      </w:r>
      <w:r w:rsidRPr="00977DB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содействию </w:t>
      </w:r>
      <w:r w:rsidRPr="00977DB7">
        <w:rPr>
          <w:rFonts w:ascii="Times New Roman" w:hAnsi="Times New Roman"/>
          <w:sz w:val="28"/>
          <w:szCs w:val="28"/>
        </w:rPr>
        <w:t>развитию конкуренции</w:t>
      </w:r>
    </w:p>
    <w:p w:rsidR="00507661" w:rsidRDefault="003932E0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Петровского</w:t>
      </w:r>
      <w:r w:rsidR="00507661" w:rsidRPr="0097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507661" w:rsidRPr="00977DB7">
        <w:rPr>
          <w:rFonts w:ascii="Times New Roman" w:hAnsi="Times New Roman"/>
          <w:sz w:val="28"/>
          <w:szCs w:val="28"/>
        </w:rPr>
        <w:t xml:space="preserve"> </w:t>
      </w:r>
      <w:r w:rsidR="00507661">
        <w:rPr>
          <w:rFonts w:ascii="Times New Roman" w:hAnsi="Times New Roman"/>
          <w:sz w:val="28"/>
          <w:szCs w:val="28"/>
        </w:rPr>
        <w:t>Ставропольского края</w:t>
      </w:r>
      <w:r w:rsidR="005C18C1">
        <w:rPr>
          <w:rFonts w:ascii="Times New Roman" w:hAnsi="Times New Roman"/>
          <w:sz w:val="28"/>
          <w:szCs w:val="28"/>
        </w:rPr>
        <w:t xml:space="preserve"> за 2020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5262E" w:rsidRDefault="00D5262E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876" w:type="dxa"/>
        <w:tblLayout w:type="fixed"/>
        <w:tblLook w:val="04A0"/>
      </w:tblPr>
      <w:tblGrid>
        <w:gridCol w:w="456"/>
        <w:gridCol w:w="2597"/>
        <w:gridCol w:w="2677"/>
        <w:gridCol w:w="1331"/>
        <w:gridCol w:w="1307"/>
        <w:gridCol w:w="1563"/>
        <w:gridCol w:w="5945"/>
      </w:tblGrid>
      <w:tr w:rsidR="00B37528" w:rsidRPr="00507661" w:rsidTr="00B37528">
        <w:trPr>
          <w:trHeight w:val="855"/>
        </w:trPr>
        <w:tc>
          <w:tcPr>
            <w:tcW w:w="456" w:type="dxa"/>
            <w:vMerge w:val="restart"/>
            <w:vAlign w:val="center"/>
          </w:tcPr>
          <w:p w:rsidR="000C4BA2" w:rsidRPr="00507661" w:rsidRDefault="00D5262E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97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2677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331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ключевого показателя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BA2" w:rsidRPr="00507661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ключевого показателя в 2019 г.</w:t>
            </w:r>
          </w:p>
        </w:tc>
        <w:tc>
          <w:tcPr>
            <w:tcW w:w="5945" w:type="dxa"/>
            <w:vMerge w:val="restart"/>
            <w:tcBorders>
              <w:left w:val="single" w:sz="4" w:space="0" w:color="auto"/>
            </w:tcBorders>
            <w:vAlign w:val="center"/>
          </w:tcPr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28" w:rsidRPr="00507661" w:rsidTr="00B37528">
        <w:trPr>
          <w:trHeight w:val="245"/>
        </w:trPr>
        <w:tc>
          <w:tcPr>
            <w:tcW w:w="456" w:type="dxa"/>
            <w:vMerge/>
            <w:vAlign w:val="center"/>
          </w:tcPr>
          <w:p w:rsidR="00B37528" w:rsidRPr="00507661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vAlign w:val="center"/>
          </w:tcPr>
          <w:p w:rsidR="00B37528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:rsidR="00B37528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B37528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528" w:rsidRDefault="00B37528" w:rsidP="00B3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</w:tc>
        <w:tc>
          <w:tcPr>
            <w:tcW w:w="1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528" w:rsidRDefault="00B37528" w:rsidP="00B3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</w:tc>
        <w:tc>
          <w:tcPr>
            <w:tcW w:w="5945" w:type="dxa"/>
            <w:vMerge/>
            <w:tcBorders>
              <w:left w:val="single" w:sz="4" w:space="0" w:color="auto"/>
            </w:tcBorders>
            <w:vAlign w:val="center"/>
          </w:tcPr>
          <w:p w:rsidR="00B37528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28" w:rsidRPr="00507661" w:rsidTr="007F2720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B37528" w:rsidRPr="00472A11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472A11"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677" w:type="dxa"/>
          </w:tcPr>
          <w:p w:rsidR="00B37528" w:rsidRPr="00472A11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472A11">
              <w:rPr>
                <w:rFonts w:ascii="Times New Roman" w:hAnsi="Times New Roman"/>
                <w:sz w:val="24"/>
                <w:szCs w:val="24"/>
              </w:rPr>
              <w:t>развитие конкуренции на рынке услуг дошкольного образования</w:t>
            </w:r>
          </w:p>
        </w:tc>
        <w:tc>
          <w:tcPr>
            <w:tcW w:w="1331" w:type="dxa"/>
          </w:tcPr>
          <w:p w:rsidR="007F2720" w:rsidRDefault="007F2720" w:rsidP="007F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528" w:rsidRPr="00472A11" w:rsidRDefault="00B37528" w:rsidP="007F2720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472A1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472A11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472A11" w:rsidRDefault="000D0E74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74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933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0E7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D0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D0E74">
              <w:rPr>
                <w:rFonts w:ascii="Times New Roman" w:hAnsi="Times New Roman" w:cs="Times New Roman"/>
                <w:sz w:val="24"/>
                <w:szCs w:val="24"/>
              </w:rPr>
              <w:t xml:space="preserve"> г. общая численность обучающихся дошкольного возраста в муниципальных дошкольных образовательных организациях Петровского городского округа Ставропольского края, реализующих основные общеобразовательные программы – образовательные программы дошкольного образования составила 3</w:t>
            </w:r>
            <w:r w:rsidR="000D0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0D0E7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D0E74" w:rsidRDefault="000D0E74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организации (в том числе филиа</w:t>
            </w:r>
            <w:r w:rsidR="00140634">
              <w:rPr>
                <w:rFonts w:ascii="Times New Roman" w:hAnsi="Times New Roman" w:cs="Times New Roman"/>
                <w:sz w:val="24"/>
                <w:szCs w:val="24"/>
              </w:rPr>
              <w:t>лы) частной формы собственности, оказывающие образовательные услуги в сфере дошкольного образования, на территории Петровского городского округа отсутствуют.</w:t>
            </w:r>
          </w:p>
          <w:p w:rsidR="00140634" w:rsidRPr="000D0E74" w:rsidRDefault="00140634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Альтернативными (вариативными) формами дошкольного образования  являются группы кратковременного пребывания, организованные индивидуальными предпринимателями: ИП Карапетян С.И. (Центр раннего развития детей «Радуга»),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(Центр детского развития «Перезагрузка»), Калашникова С.Н.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население) – группа </w:t>
            </w:r>
            <w:r w:rsidR="00415EAE">
              <w:rPr>
                <w:rFonts w:ascii="Times New Roman" w:hAnsi="Times New Roman" w:cs="Times New Roman"/>
                <w:sz w:val="24"/>
                <w:szCs w:val="24"/>
              </w:rPr>
              <w:t>кратковременного пребывания по подготовке детей к школе, логопедическая помощь и дополнительные занятия с детьми младшего школьного возраста.</w:t>
            </w:r>
          </w:p>
          <w:p w:rsidR="00B37528" w:rsidRPr="000D0E74" w:rsidRDefault="00B37528" w:rsidP="00E0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74">
              <w:rPr>
                <w:rFonts w:ascii="Times New Roman" w:hAnsi="Times New Roman" w:cs="Times New Roman"/>
                <w:sz w:val="24"/>
                <w:szCs w:val="24"/>
              </w:rPr>
              <w:t>Количество детей дошк</w:t>
            </w:r>
            <w:r w:rsidR="000D0E74">
              <w:rPr>
                <w:rFonts w:ascii="Times New Roman" w:hAnsi="Times New Roman" w:cs="Times New Roman"/>
                <w:sz w:val="24"/>
                <w:szCs w:val="24"/>
              </w:rPr>
              <w:t>ольного возраста, которым в 2020</w:t>
            </w:r>
            <w:r w:rsidRPr="000D0E74">
              <w:rPr>
                <w:rFonts w:ascii="Times New Roman" w:hAnsi="Times New Roman" w:cs="Times New Roman"/>
                <w:sz w:val="24"/>
                <w:szCs w:val="24"/>
              </w:rPr>
              <w:t xml:space="preserve"> году оказаны услуги дошкольного образования индивидуальными предпринимателями, реализующих основные общеобразовательные программы – образовательные программы дошкольного образования, составила </w:t>
            </w:r>
            <w:r w:rsidR="000D0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D0E7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B37528" w:rsidRPr="000D0E74" w:rsidRDefault="00B37528" w:rsidP="000D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0D0E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кп</w:t>
            </w:r>
            <w:r w:rsidRPr="000D0E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D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0E7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0D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\V</w:t>
            </w:r>
            <w:r w:rsidRPr="000D0E7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0D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x100%=</w:t>
            </w:r>
            <w:r w:rsidR="000D0E74">
              <w:rPr>
                <w:rFonts w:ascii="Times New Roman" w:hAnsi="Times New Roman" w:cs="Times New Roman"/>
                <w:sz w:val="24"/>
                <w:szCs w:val="24"/>
              </w:rPr>
              <w:t>95/</w:t>
            </w:r>
            <w:r w:rsidRPr="000D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D0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3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9x100%=2</w:t>
            </w:r>
            <w:r w:rsidR="00EA35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7528" w:rsidRPr="00507661" w:rsidTr="007F2720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7" w:type="dxa"/>
          </w:tcPr>
          <w:p w:rsidR="00B37528" w:rsidRPr="00472A11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472A11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677" w:type="dxa"/>
          </w:tcPr>
          <w:p w:rsidR="00B37528" w:rsidRPr="00472A11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472A11">
              <w:rPr>
                <w:rFonts w:ascii="Times New Roman" w:hAnsi="Times New Roman"/>
                <w:sz w:val="24"/>
                <w:szCs w:val="24"/>
              </w:rPr>
              <w:t>развитие в Ставропольском крае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31" w:type="dxa"/>
          </w:tcPr>
          <w:p w:rsidR="007F2720" w:rsidRDefault="007F2720" w:rsidP="007F27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528" w:rsidRPr="00472A11" w:rsidRDefault="00B37528" w:rsidP="007F2720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472A11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528" w:rsidRPr="00472A11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11">
              <w:rPr>
                <w:rFonts w:ascii="Times New Roman" w:eastAsia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472A11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AE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Default="00B37528" w:rsidP="00067E5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осуществляют свою деятельность </w:t>
            </w:r>
            <w:r w:rsidR="001E65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4E4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аптечные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1E65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1F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частной формы собственности. </w:t>
            </w:r>
          </w:p>
          <w:p w:rsidR="00B37528" w:rsidRPr="00B60D6C" w:rsidRDefault="00B37528" w:rsidP="00067E5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методикой расчета ключевой показатель составит:</w:t>
            </w:r>
          </w:p>
          <w:p w:rsidR="00B37528" w:rsidRPr="00472A11" w:rsidRDefault="00B37528" w:rsidP="0006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="001E65AE">
              <w:rPr>
                <w:rFonts w:ascii="Times New Roman" w:eastAsia="Times New Roman" w:hAnsi="Times New Roman" w:cs="Times New Roman"/>
                <w:sz w:val="24"/>
                <w:szCs w:val="24"/>
              </w:rPr>
              <w:t>100%=31/32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100%=96%</w:t>
            </w:r>
          </w:p>
        </w:tc>
      </w:tr>
      <w:tr w:rsidR="00B37528" w:rsidRPr="00507661" w:rsidTr="007F2720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B37528" w:rsidRPr="00472A11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472A11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на рынке благоустройства городской среды</w:t>
            </w:r>
          </w:p>
        </w:tc>
        <w:tc>
          <w:tcPr>
            <w:tcW w:w="1331" w:type="dxa"/>
          </w:tcPr>
          <w:p w:rsidR="007F2720" w:rsidRDefault="007F2720" w:rsidP="007F27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0132E7" w:rsidRDefault="000132E7" w:rsidP="0001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услуг оказываемых организациями частной формы собственности в сфере выполнения работ по благоустройству городской среды Петровского городского округа Ставропольского края выполнена в полном объеме.</w:t>
            </w:r>
          </w:p>
          <w:p w:rsidR="00B37528" w:rsidRDefault="000132E7" w:rsidP="0001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мероприятий по благоустройству городской среды в целях реализации национального проекта  «Жилье и городская среда» в 2020 году было предусмотрено выделение денежных средств в сумме 43454460 руб. 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благоустройства площади 50 лет Октября города Светлограда (3 этап).</w:t>
            </w:r>
          </w:p>
          <w:p w:rsidR="00B37528" w:rsidRPr="00DF6842" w:rsidRDefault="00B37528" w:rsidP="001A57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ключевой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x100%=</w:t>
            </w:r>
            <w:r w:rsidR="001A57F7">
              <w:rPr>
                <w:rFonts w:ascii="Times New Roman" w:hAnsi="Times New Roman" w:cs="Times New Roman"/>
                <w:sz w:val="24"/>
                <w:szCs w:val="24"/>
              </w:rPr>
              <w:t>43454460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A57F7">
              <w:rPr>
                <w:rFonts w:ascii="Times New Roman" w:hAnsi="Times New Roman" w:cs="Times New Roman"/>
                <w:sz w:val="24"/>
                <w:szCs w:val="24"/>
              </w:rPr>
              <w:t>43454460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x100%=100%</w:t>
            </w:r>
          </w:p>
        </w:tc>
      </w:tr>
      <w:tr w:rsidR="00B37528" w:rsidRPr="00507661" w:rsidTr="007F2720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B37528" w:rsidRPr="00077F52" w:rsidRDefault="00B37528" w:rsidP="000655DC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на рынке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331" w:type="dxa"/>
          </w:tcPr>
          <w:p w:rsidR="007F2720" w:rsidRDefault="007F2720" w:rsidP="007F27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Default="00B37528" w:rsidP="007F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B37528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Pr="00472A11" w:rsidRDefault="000132E7" w:rsidP="0020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(работы) в сфере перевозок пассажиров автомобильным транспортом по муниципальным маршрутам регулярных перевозок в Петровском городском округе Ставропольского края организациями частной формы собственности оказаны (выполнены) в полном объеме.</w:t>
            </w:r>
          </w:p>
        </w:tc>
      </w:tr>
      <w:tr w:rsidR="00B37528" w:rsidRPr="00507661" w:rsidTr="007F2720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 xml:space="preserve">Рынок оказания услуг по перевозке пассажиров и багажа легковым такси на </w:t>
            </w:r>
            <w:r w:rsidRPr="00077F52">
              <w:rPr>
                <w:sz w:val="24"/>
                <w:szCs w:val="24"/>
              </w:rPr>
              <w:lastRenderedPageBreak/>
              <w:t>территории округа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конкуренции в сфере услуг по перевозке пассажиров и багажа легковым </w:t>
            </w:r>
            <w:r w:rsidRPr="00077F52">
              <w:rPr>
                <w:rFonts w:ascii="Times New Roman" w:hAnsi="Times New Roman"/>
                <w:sz w:val="24"/>
                <w:szCs w:val="24"/>
              </w:rPr>
              <w:lastRenderedPageBreak/>
              <w:t>такси</w:t>
            </w:r>
          </w:p>
        </w:tc>
        <w:tc>
          <w:tcPr>
            <w:tcW w:w="1331" w:type="dxa"/>
          </w:tcPr>
          <w:p w:rsidR="007F2720" w:rsidRDefault="007F2720" w:rsidP="007F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Pr="00206E09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0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Петровского городского округа осуществляется организациями частной формы собственности.</w:t>
            </w:r>
          </w:p>
        </w:tc>
      </w:tr>
      <w:tr w:rsidR="00B37528" w:rsidRPr="00507661" w:rsidTr="007F2720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услуг связи, в том числе услуг по предоставлению широкополосного дост</w:t>
            </w:r>
            <w:r>
              <w:rPr>
                <w:sz w:val="24"/>
                <w:szCs w:val="24"/>
              </w:rPr>
              <w:t>упа к информационно-телекоммуни</w:t>
            </w:r>
            <w:r w:rsidRPr="00077F52">
              <w:rPr>
                <w:sz w:val="24"/>
                <w:szCs w:val="24"/>
              </w:rPr>
              <w:t>кационной сети «Интернет»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 xml:space="preserve">развитие конкуренции на рынке услуг связи по предоставлению широкополосного доступа к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информационно-телекоммуникацион</w:t>
            </w:r>
            <w:r w:rsidRPr="00077F52">
              <w:rPr>
                <w:rFonts w:ascii="Times New Roman" w:hAnsi="Times New Roman"/>
                <w:sz w:val="24"/>
                <w:szCs w:val="24"/>
              </w:rPr>
              <w:t>ной сети «Интернет»</w:t>
            </w:r>
          </w:p>
        </w:tc>
        <w:tc>
          <w:tcPr>
            <w:tcW w:w="1331" w:type="dxa"/>
          </w:tcPr>
          <w:p w:rsidR="007F2720" w:rsidRDefault="007F2720" w:rsidP="007F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Pr="00472A11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Петровского городского округа Ставропольского края услуги связи, в том числе услуги по предоставлению широкополосного доступа к информационно-телекоммуникационной сети «Интернет» для населения округа предоставляют 8 коммерческих организаций частной формы собственности</w:t>
            </w:r>
            <w:r w:rsidR="001A5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528" w:rsidRPr="00507661" w:rsidTr="007F2720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на рынке дорожной деятельности (за исключением проектирования)</w:t>
            </w:r>
          </w:p>
        </w:tc>
        <w:tc>
          <w:tcPr>
            <w:tcW w:w="1331" w:type="dxa"/>
          </w:tcPr>
          <w:p w:rsidR="007F2720" w:rsidRDefault="007F2720" w:rsidP="007F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077F52" w:rsidRDefault="003F7C6E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7528" w:rsidRPr="003F7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7C6E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на территории Петровского городского округа</w:t>
            </w:r>
            <w:r w:rsidR="003F7C6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3F7C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организации частной формы собственности.</w:t>
            </w:r>
          </w:p>
          <w:p w:rsidR="000655DC" w:rsidRPr="00605724" w:rsidRDefault="000655DC" w:rsidP="003F7C6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7528" w:rsidRPr="00507661" w:rsidTr="007F2720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на рынке архитектурно-строительного проектирования</w:t>
            </w:r>
          </w:p>
        </w:tc>
        <w:tc>
          <w:tcPr>
            <w:tcW w:w="1331" w:type="dxa"/>
          </w:tcPr>
          <w:p w:rsidR="007F2720" w:rsidRDefault="007F2720" w:rsidP="007F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Pr="004722E5" w:rsidRDefault="00B37528" w:rsidP="00500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68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на рынке архитектурно-строительного проектирования в 20</w:t>
            </w:r>
            <w:r w:rsidR="00500868" w:rsidRPr="005008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0868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составил: </w:t>
            </w:r>
            <w:r w:rsidRPr="0050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500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кп</w:t>
            </w:r>
            <w:r w:rsidRPr="005008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0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008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500868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50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008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50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Pr="00500868">
              <w:rPr>
                <w:rFonts w:ascii="Times New Roman" w:hAnsi="Times New Roman" w:cs="Times New Roman"/>
                <w:sz w:val="24"/>
                <w:szCs w:val="24"/>
              </w:rPr>
              <w:t>100%=1\1</w:t>
            </w:r>
            <w:r w:rsidRPr="0050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00868">
              <w:rPr>
                <w:rFonts w:ascii="Times New Roman" w:hAnsi="Times New Roman" w:cs="Times New Roman"/>
                <w:sz w:val="24"/>
                <w:szCs w:val="24"/>
              </w:rPr>
              <w:t>100%=100%</w:t>
            </w:r>
          </w:p>
        </w:tc>
      </w:tr>
      <w:tr w:rsidR="00B37528" w:rsidRPr="00507661" w:rsidTr="007F2720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на рынке реализации сельскохозяйственной продукции</w:t>
            </w:r>
          </w:p>
        </w:tc>
        <w:tc>
          <w:tcPr>
            <w:tcW w:w="1331" w:type="dxa"/>
          </w:tcPr>
          <w:p w:rsidR="007F2720" w:rsidRDefault="007F2720" w:rsidP="007F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7F2720" w:rsidRDefault="007F2720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077F52" w:rsidRDefault="00B37528" w:rsidP="007F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16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Петровского городского округа Ставропольского края представлен организациями частной формы собственности. Федеральные государственные унитарные предприятия, государственные корпорации, государственные компании, федеральные бюджетные учреждения, федеральные</w:t>
            </w:r>
            <w:r w:rsidRPr="00CF5F9A">
              <w:rPr>
                <w:rFonts w:ascii="Times New Roman" w:hAnsi="Times New Roman" w:cs="Times New Roman"/>
                <w:sz w:val="24"/>
                <w:szCs w:val="24"/>
              </w:rPr>
              <w:t xml:space="preserve"> автоно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мные учреждения, федеральные казенные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реализующие сельскохозяйственную</w:t>
            </w:r>
            <w:r w:rsidRPr="00CF5F9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на территории Петровского городского округа отсутствуют</w:t>
            </w:r>
            <w:r w:rsidR="00821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F63" w:rsidRPr="00E14C16" w:rsidRDefault="00F463E7" w:rsidP="00AE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3E7">
              <w:rPr>
                <w:rFonts w:ascii="Times New Roman" w:hAnsi="Times New Roman" w:cs="Times New Roman"/>
                <w:sz w:val="24"/>
                <w:szCs w:val="24"/>
              </w:rPr>
              <w:t>По результатам 2020 года</w:t>
            </w:r>
            <w:r w:rsidR="00821F63" w:rsidRPr="00F46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C0A" w:rsidRPr="00F463E7">
              <w:rPr>
                <w:rFonts w:ascii="Times New Roman" w:hAnsi="Times New Roman" w:cs="Times New Roman"/>
                <w:sz w:val="24"/>
                <w:szCs w:val="24"/>
              </w:rPr>
              <w:t>сельхозпредприятиями</w:t>
            </w:r>
            <w:r w:rsidR="00821F63" w:rsidRPr="00F463E7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 осуществляющих свою деятельность на территории Петровского городского округа</w:t>
            </w:r>
            <w:r w:rsidRPr="00F463E7"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</w:t>
            </w:r>
            <w:r w:rsidR="00821F63" w:rsidRPr="00F463E7">
              <w:rPr>
                <w:rFonts w:ascii="Times New Roman" w:hAnsi="Times New Roman" w:cs="Times New Roman"/>
                <w:sz w:val="24"/>
                <w:szCs w:val="24"/>
              </w:rPr>
              <w:t xml:space="preserve">  реализовано продукции </w:t>
            </w:r>
            <w:r w:rsidR="00531C0A" w:rsidRPr="00F463E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463E7">
              <w:rPr>
                <w:rFonts w:ascii="Times New Roman" w:hAnsi="Times New Roman" w:cs="Times New Roman"/>
                <w:sz w:val="24"/>
                <w:szCs w:val="24"/>
              </w:rPr>
              <w:t>2 113 997</w:t>
            </w:r>
            <w:r w:rsidR="00531C0A" w:rsidRPr="00F463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  <w:r w:rsidR="00AE4076">
              <w:rPr>
                <w:rFonts w:ascii="Times New Roman" w:hAnsi="Times New Roman" w:cs="Times New Roman"/>
                <w:sz w:val="24"/>
                <w:szCs w:val="24"/>
              </w:rPr>
              <w:t xml:space="preserve"> (Итоговый отчет за 2020 год будет сформирован к концу первого квартала 2021 года)</w:t>
            </w:r>
          </w:p>
        </w:tc>
      </w:tr>
      <w:tr w:rsidR="00B37528" w:rsidRPr="00507661" w:rsidTr="00B37528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в сфере наружной рекламы</w:t>
            </w:r>
          </w:p>
        </w:tc>
        <w:tc>
          <w:tcPr>
            <w:tcW w:w="1331" w:type="dxa"/>
            <w:vAlign w:val="center"/>
          </w:tcPr>
          <w:p w:rsidR="00B37528" w:rsidRPr="00077F52" w:rsidRDefault="00B37528" w:rsidP="00472A11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B37528" w:rsidRPr="00077F52" w:rsidRDefault="00B37528" w:rsidP="0047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B37528" w:rsidRPr="00077F52" w:rsidRDefault="00B37528" w:rsidP="0047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500868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68">
              <w:rPr>
                <w:rFonts w:ascii="Times New Roman" w:hAnsi="Times New Roman" w:cs="Times New Roman"/>
                <w:sz w:val="24"/>
                <w:szCs w:val="24"/>
              </w:rPr>
              <w:t>На территории Петровского городского округа Ста</w:t>
            </w:r>
            <w:r w:rsidR="00500868">
              <w:rPr>
                <w:rFonts w:ascii="Times New Roman" w:hAnsi="Times New Roman" w:cs="Times New Roman"/>
                <w:sz w:val="24"/>
                <w:szCs w:val="24"/>
              </w:rPr>
              <w:t>вропольского края установлено 29</w:t>
            </w:r>
            <w:r w:rsidRPr="00500868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рекламных конструкций, в соответствии с разрешениями на </w:t>
            </w:r>
            <w:r w:rsidRPr="005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выдачу и установку рекламных конструкций. </w:t>
            </w:r>
          </w:p>
          <w:p w:rsidR="00B37528" w:rsidRPr="004722E5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6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округа отсутствуют предприятия с государственным участием, </w:t>
            </w:r>
            <w:proofErr w:type="gramStart"/>
            <w:r w:rsidRPr="00500868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50086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в сфере наружной рекламы. Таким образом произвести расчеты ключевого показателя развития конкуренции в сфере наружной рекламы не представляется возможным</w:t>
            </w:r>
            <w:r w:rsidR="0050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7661" w:rsidRDefault="00507661" w:rsidP="001829B5"/>
    <w:sectPr w:rsidR="00507661" w:rsidSect="00156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661"/>
    <w:rsid w:val="000132E7"/>
    <w:rsid w:val="00051657"/>
    <w:rsid w:val="000655DC"/>
    <w:rsid w:val="00067E5B"/>
    <w:rsid w:val="00077F52"/>
    <w:rsid w:val="00093BBB"/>
    <w:rsid w:val="000A7BC2"/>
    <w:rsid w:val="000C4BA2"/>
    <w:rsid w:val="000D0E74"/>
    <w:rsid w:val="001061A1"/>
    <w:rsid w:val="00140634"/>
    <w:rsid w:val="001565BC"/>
    <w:rsid w:val="001829B5"/>
    <w:rsid w:val="001A57F7"/>
    <w:rsid w:val="001E65AE"/>
    <w:rsid w:val="00206E09"/>
    <w:rsid w:val="00212F9B"/>
    <w:rsid w:val="00221B1B"/>
    <w:rsid w:val="002D6115"/>
    <w:rsid w:val="0037766F"/>
    <w:rsid w:val="00386ABE"/>
    <w:rsid w:val="00390562"/>
    <w:rsid w:val="003932E0"/>
    <w:rsid w:val="003A1D30"/>
    <w:rsid w:val="003F7C6E"/>
    <w:rsid w:val="00415EAE"/>
    <w:rsid w:val="0043283D"/>
    <w:rsid w:val="004722E5"/>
    <w:rsid w:val="00472A11"/>
    <w:rsid w:val="00491949"/>
    <w:rsid w:val="004E4306"/>
    <w:rsid w:val="00500868"/>
    <w:rsid w:val="00507661"/>
    <w:rsid w:val="00531C0A"/>
    <w:rsid w:val="005430CB"/>
    <w:rsid w:val="005544AA"/>
    <w:rsid w:val="005C18C1"/>
    <w:rsid w:val="00605724"/>
    <w:rsid w:val="00647CCF"/>
    <w:rsid w:val="006A7F05"/>
    <w:rsid w:val="006F44F3"/>
    <w:rsid w:val="007166B4"/>
    <w:rsid w:val="00750515"/>
    <w:rsid w:val="0076487D"/>
    <w:rsid w:val="007C557E"/>
    <w:rsid w:val="007F2720"/>
    <w:rsid w:val="00821F63"/>
    <w:rsid w:val="008A7133"/>
    <w:rsid w:val="008B4BBA"/>
    <w:rsid w:val="008C5D4C"/>
    <w:rsid w:val="00911A5B"/>
    <w:rsid w:val="00914B07"/>
    <w:rsid w:val="009330A5"/>
    <w:rsid w:val="0094604B"/>
    <w:rsid w:val="00A67694"/>
    <w:rsid w:val="00A7579D"/>
    <w:rsid w:val="00A872F2"/>
    <w:rsid w:val="00AC2DF0"/>
    <w:rsid w:val="00AE4076"/>
    <w:rsid w:val="00B37528"/>
    <w:rsid w:val="00B604EC"/>
    <w:rsid w:val="00B63C0C"/>
    <w:rsid w:val="00B749E4"/>
    <w:rsid w:val="00BB4A73"/>
    <w:rsid w:val="00CF5F9A"/>
    <w:rsid w:val="00D5262E"/>
    <w:rsid w:val="00DD18D0"/>
    <w:rsid w:val="00DF6842"/>
    <w:rsid w:val="00E01EE5"/>
    <w:rsid w:val="00E14C16"/>
    <w:rsid w:val="00E32E3C"/>
    <w:rsid w:val="00E65653"/>
    <w:rsid w:val="00E90959"/>
    <w:rsid w:val="00EA3571"/>
    <w:rsid w:val="00EE2A27"/>
    <w:rsid w:val="00F06178"/>
    <w:rsid w:val="00F463E7"/>
    <w:rsid w:val="00F82D38"/>
    <w:rsid w:val="00FB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507661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50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unhideWhenUsed/>
    <w:rsid w:val="0037766F"/>
    <w:pPr>
      <w:widowControl w:val="0"/>
      <w:shd w:val="clear" w:color="auto" w:fill="FFFFFF"/>
      <w:spacing w:before="240" w:after="240" w:line="638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766F"/>
  </w:style>
  <w:style w:type="character" w:customStyle="1" w:styleId="1">
    <w:name w:val="Основной текст Знак1"/>
    <w:basedOn w:val="a0"/>
    <w:link w:val="a5"/>
    <w:uiPriority w:val="99"/>
    <w:locked/>
    <w:rsid w:val="0037766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locked/>
    <w:rsid w:val="001565BC"/>
    <w:rPr>
      <w:spacing w:val="-4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565BC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34</cp:revision>
  <cp:lastPrinted>2021-01-21T12:46:00Z</cp:lastPrinted>
  <dcterms:created xsi:type="dcterms:W3CDTF">2020-01-10T05:41:00Z</dcterms:created>
  <dcterms:modified xsi:type="dcterms:W3CDTF">2021-01-28T06:21:00Z</dcterms:modified>
</cp:coreProperties>
</file>