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87" w:rsidRDefault="00FD7CC3">
      <w:pPr>
        <w:spacing w:before="0" w:after="0"/>
        <w:jc w:val="center"/>
        <w:rPr>
          <w:rFonts w:ascii="Calibri" w:eastAsia="Tahoma" w:hAnsi="Calibri" w:cs="Tahoma"/>
          <w:b/>
          <w:color w:val="4472C4"/>
          <w:sz w:val="36"/>
          <w:szCs w:val="36"/>
        </w:rPr>
      </w:pPr>
      <w:r>
        <w:rPr>
          <w:rFonts w:eastAsia="Tahoma" w:cs="Tahoma"/>
          <w:b/>
          <w:noProof/>
          <w:color w:val="4472C4"/>
          <w:sz w:val="36"/>
          <w:szCs w:val="36"/>
          <w:lang w:eastAsia="ru-RU"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2244090</wp:posOffset>
            </wp:positionH>
            <wp:positionV relativeFrom="page">
              <wp:posOffset>247650</wp:posOffset>
            </wp:positionV>
            <wp:extent cx="1205230" cy="1370330"/>
            <wp:effectExtent l="0" t="0" r="0" b="0"/>
            <wp:wrapTight wrapText="bothSides">
              <wp:wrapPolygon edited="0">
                <wp:start x="-227" y="0"/>
                <wp:lineTo x="-227" y="20977"/>
                <wp:lineTo x="21140" y="20977"/>
                <wp:lineTo x="21140" y="0"/>
                <wp:lineTo x="-227" y="0"/>
              </wp:wrapPolygon>
            </wp:wrapTight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187" w:rsidRDefault="00860187">
      <w:pPr>
        <w:spacing w:before="0" w:after="0"/>
        <w:jc w:val="center"/>
        <w:rPr>
          <w:rFonts w:ascii="Calibri" w:eastAsia="Tahoma" w:hAnsi="Calibri" w:cs="Tahoma"/>
          <w:b/>
          <w:color w:val="4472C4"/>
          <w:sz w:val="36"/>
          <w:szCs w:val="36"/>
        </w:rPr>
      </w:pPr>
    </w:p>
    <w:p w:rsidR="00860187" w:rsidRDefault="00860187">
      <w:pPr>
        <w:spacing w:before="0" w:after="0"/>
        <w:jc w:val="center"/>
        <w:rPr>
          <w:rFonts w:ascii="Calibri" w:eastAsia="Tahoma" w:hAnsi="Calibri" w:cs="Tahoma"/>
          <w:b/>
          <w:color w:val="4472C4"/>
          <w:sz w:val="36"/>
          <w:szCs w:val="36"/>
        </w:rPr>
      </w:pPr>
    </w:p>
    <w:p w:rsidR="00860187" w:rsidRDefault="00860187">
      <w:pPr>
        <w:spacing w:before="0" w:after="0"/>
        <w:jc w:val="center"/>
        <w:rPr>
          <w:rFonts w:ascii="Calibri" w:eastAsia="Tahoma" w:hAnsi="Calibri" w:cs="Tahoma"/>
          <w:b/>
          <w:color w:val="4472C4"/>
          <w:sz w:val="36"/>
          <w:szCs w:val="36"/>
        </w:rPr>
      </w:pPr>
    </w:p>
    <w:p w:rsidR="00860187" w:rsidRDefault="00FD7CC3">
      <w:pPr>
        <w:spacing w:before="0" w:after="0"/>
        <w:jc w:val="center"/>
        <w:rPr>
          <w:rFonts w:ascii="Calibri" w:eastAsia="Tahoma" w:hAnsi="Calibri" w:cs="Tahoma"/>
          <w:sz w:val="32"/>
          <w:szCs w:val="32"/>
        </w:rPr>
      </w:pPr>
      <w:r>
        <w:rPr>
          <w:rFonts w:eastAsia="Tahoma" w:cs="Tahoma"/>
          <w:b/>
          <w:color w:val="7030A0"/>
          <w:sz w:val="32"/>
          <w:szCs w:val="32"/>
        </w:rPr>
        <w:t>Мониторинг</w:t>
      </w:r>
    </w:p>
    <w:p w:rsidR="00860187" w:rsidRDefault="00FD7CC3">
      <w:pPr>
        <w:spacing w:before="0" w:after="0"/>
        <w:jc w:val="center"/>
        <w:rPr>
          <w:rFonts w:ascii="Calibri" w:eastAsia="Tahoma" w:hAnsi="Calibri" w:cs="Tahoma"/>
          <w:sz w:val="32"/>
          <w:szCs w:val="32"/>
        </w:rPr>
      </w:pPr>
      <w:r>
        <w:rPr>
          <w:rFonts w:eastAsia="Tahoma" w:cs="Tahoma"/>
          <w:b/>
          <w:color w:val="7030A0"/>
          <w:sz w:val="32"/>
          <w:szCs w:val="32"/>
        </w:rPr>
        <w:t>состояния и развития конкурентной среды на рынках товаров, работ и услуг</w:t>
      </w:r>
    </w:p>
    <w:p w:rsidR="00860187" w:rsidRDefault="00FD7CC3">
      <w:pPr>
        <w:spacing w:before="0" w:after="0"/>
        <w:jc w:val="center"/>
        <w:rPr>
          <w:rFonts w:ascii="Calibri" w:eastAsia="Tahoma" w:hAnsi="Calibri" w:cs="Tahoma"/>
          <w:sz w:val="32"/>
          <w:szCs w:val="32"/>
        </w:rPr>
      </w:pPr>
      <w:r>
        <w:rPr>
          <w:rFonts w:eastAsia="Tahoma" w:cs="Tahoma"/>
          <w:b/>
          <w:color w:val="7030A0"/>
          <w:sz w:val="32"/>
          <w:szCs w:val="32"/>
        </w:rPr>
        <w:t xml:space="preserve">в Петровском муниципальном округе </w:t>
      </w:r>
    </w:p>
    <w:p w:rsidR="00860187" w:rsidRDefault="00FD7CC3">
      <w:pPr>
        <w:spacing w:before="0" w:after="0"/>
        <w:jc w:val="center"/>
        <w:rPr>
          <w:rFonts w:ascii="Calibri" w:eastAsia="Tahoma" w:hAnsi="Calibri" w:cs="Tahoma"/>
          <w:sz w:val="32"/>
          <w:szCs w:val="32"/>
        </w:rPr>
      </w:pPr>
      <w:r>
        <w:rPr>
          <w:rFonts w:eastAsia="Tahoma" w:cs="Tahoma"/>
          <w:b/>
          <w:color w:val="7030A0"/>
          <w:sz w:val="32"/>
          <w:szCs w:val="32"/>
        </w:rPr>
        <w:t xml:space="preserve">Ставропольского края </w:t>
      </w:r>
    </w:p>
    <w:p w:rsidR="00860187" w:rsidRDefault="00FD7CC3">
      <w:pPr>
        <w:spacing w:before="0" w:after="0"/>
        <w:jc w:val="center"/>
        <w:rPr>
          <w:rFonts w:ascii="Calibri" w:eastAsia="Tahoma" w:hAnsi="Calibri" w:cs="Tahoma"/>
          <w:sz w:val="32"/>
          <w:szCs w:val="32"/>
        </w:rPr>
      </w:pPr>
      <w:r>
        <w:rPr>
          <w:rFonts w:eastAsia="Tahoma" w:cs="Tahoma"/>
          <w:b/>
          <w:color w:val="7030A0"/>
          <w:sz w:val="32"/>
          <w:szCs w:val="32"/>
        </w:rPr>
        <w:t>за 2024 год</w:t>
      </w:r>
    </w:p>
    <w:p w:rsidR="00860187" w:rsidRDefault="00860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В ходе </w:t>
      </w:r>
      <w:r>
        <w:rPr>
          <w:rFonts w:ascii="Times New Roman" w:eastAsia="Tahoma" w:hAnsi="Times New Roman" w:cs="Times New Roman"/>
          <w:color w:val="000000"/>
          <w:sz w:val="28"/>
          <w:szCs w:val="28"/>
        </w:rPr>
        <w:t>мониторинга состояния и развития конкурентной среды на рынках товаров и услуг Петровского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опрошено 414 респондента (на 6,2% больше числа опрошенных 2023 года), из которых </w:t>
      </w:r>
      <w:r>
        <w:rPr>
          <w:rFonts w:ascii="Times New Roman" w:eastAsia="Tahoma" w:hAnsi="Times New Roman" w:cs="Times New Roman"/>
          <w:color w:val="000000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представителей бизнеса, </w:t>
      </w:r>
      <w:r>
        <w:rPr>
          <w:rFonts w:ascii="Times New Roman" w:eastAsia="Tahoma" w:hAnsi="Times New Roman" w:cs="Times New Roman"/>
          <w:color w:val="000000"/>
          <w:sz w:val="28"/>
          <w:szCs w:val="28"/>
        </w:rPr>
        <w:t>15 – самозанятые граждане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и </w:t>
      </w:r>
      <w:r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283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потребителей товаров и услуг. Годом ранее в ходе мониторинга опрашивались 390 респондента, из них 279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потребители товаров и услуг, 101 - субъект предпринимательской деятельности, 10 – самозанятые граждане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соответственно.</w:t>
      </w:r>
    </w:p>
    <w:p w:rsidR="00860187" w:rsidRDefault="00FD7CC3">
      <w:pPr>
        <w:spacing w:before="0" w:after="0"/>
        <w:jc w:val="both"/>
        <w:rPr>
          <w:rFonts w:ascii="Times New Roman" w:eastAsia="Tahoma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3562350"/>
            <wp:effectExtent l="0" t="0" r="0" b="0"/>
            <wp:docPr id="2" name="Рисунок 8" descr="https://depeconom.admhmao.ru/upload/resize_cache/iblock/590/dq8z00f5bm1roje2ekha08bab9825evw/1200_1000_0/Risu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https://depeconom.admhmao.ru/upload/resize_cache/iblock/590/dq8z00f5bm1roje2ekha08bab9825evw/1200_1000_0/Risunok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187" w:rsidRDefault="00860187">
      <w:pPr>
        <w:spacing w:before="0" w:after="0"/>
        <w:rPr>
          <w:rFonts w:ascii="Times New Roman" w:eastAsia="Tahoma" w:hAnsi="Times New Roman" w:cs="Times New Roman"/>
          <w:color w:val="000000"/>
          <w:sz w:val="28"/>
          <w:szCs w:val="28"/>
        </w:rPr>
      </w:pPr>
    </w:p>
    <w:p w:rsidR="00860187" w:rsidRDefault="00FD7CC3">
      <w:pPr>
        <w:spacing w:before="0" w:after="0"/>
        <w:ind w:firstLine="851"/>
        <w:jc w:val="center"/>
        <w:rPr>
          <w:rFonts w:ascii="Calibri" w:eastAsia="Tahoma" w:hAnsi="Calibri" w:cs="Tahoma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</w:rPr>
        <w:t>г. Светлоград, 2024 год</w:t>
      </w:r>
    </w:p>
    <w:p w:rsidR="00860187" w:rsidRDefault="00860187">
      <w:pPr>
        <w:jc w:val="right"/>
        <w:rPr>
          <w:rFonts w:ascii="Times New Roman" w:eastAsia="Tahoma" w:hAnsi="Times New Roman" w:cs="Times New Roman"/>
          <w:sz w:val="28"/>
          <w:szCs w:val="28"/>
        </w:rPr>
      </w:pPr>
    </w:p>
    <w:p w:rsidR="00860187" w:rsidRDefault="00FD7CC3">
      <w:pPr>
        <w:jc w:val="right"/>
        <w:rPr>
          <w:rFonts w:ascii="Calibri" w:eastAsia="Tahoma" w:hAnsi="Calibri" w:cs="Tahoma"/>
        </w:rPr>
      </w:pPr>
      <w:r>
        <w:rPr>
          <w:rFonts w:ascii="Times New Roman" w:eastAsia="Tahoma" w:hAnsi="Times New Roman" w:cs="Times New Roman"/>
          <w:sz w:val="28"/>
          <w:szCs w:val="28"/>
        </w:rPr>
        <w:lastRenderedPageBreak/>
        <w:t>Приложение 8</w:t>
      </w:r>
    </w:p>
    <w:p w:rsidR="00860187" w:rsidRDefault="00FD7CC3">
      <w:pPr>
        <w:spacing w:before="0"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</w:rPr>
        <w:t xml:space="preserve">Анализ итогов опросов субъектов предпринимательской деятельности </w:t>
      </w:r>
    </w:p>
    <w:p w:rsidR="00860187" w:rsidRDefault="00FD7CC3">
      <w:pPr>
        <w:spacing w:before="0" w:after="0" w:line="240" w:lineRule="auto"/>
        <w:jc w:val="center"/>
        <w:rPr>
          <w:rFonts w:ascii="Calibri" w:eastAsia="Tahoma" w:hAnsi="Calibri" w:cs="Tahoma"/>
        </w:rPr>
      </w:pPr>
      <w:r>
        <w:rPr>
          <w:rFonts w:ascii="Times New Roman" w:eastAsia="Tahoma" w:hAnsi="Times New Roman" w:cs="Times New Roman"/>
          <w:b/>
          <w:sz w:val="28"/>
          <w:szCs w:val="28"/>
        </w:rPr>
        <w:t xml:space="preserve">и потребителей товаров, работ и услуг о состоянии конкуренции </w:t>
      </w:r>
    </w:p>
    <w:p w:rsidR="00860187" w:rsidRDefault="00FD7CC3">
      <w:pPr>
        <w:spacing w:before="0" w:after="0" w:line="240" w:lineRule="auto"/>
        <w:jc w:val="center"/>
        <w:rPr>
          <w:rFonts w:ascii="Calibri" w:eastAsia="Tahoma" w:hAnsi="Calibri" w:cs="Tahoma"/>
        </w:rPr>
      </w:pPr>
      <w:r>
        <w:rPr>
          <w:rFonts w:ascii="Times New Roman" w:eastAsia="Tahoma" w:hAnsi="Times New Roman" w:cs="Times New Roman"/>
          <w:b/>
          <w:sz w:val="28"/>
          <w:szCs w:val="28"/>
        </w:rPr>
        <w:t>на товарных рынках Ставропольского края</w:t>
      </w:r>
    </w:p>
    <w:p w:rsidR="00860187" w:rsidRDefault="00860187">
      <w:pPr>
        <w:spacing w:before="0"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</w:p>
    <w:p w:rsidR="00860187" w:rsidRDefault="00FD7CC3">
      <w:pPr>
        <w:spacing w:before="0" w:after="0" w:line="240" w:lineRule="auto"/>
        <w:ind w:firstLine="708"/>
        <w:jc w:val="both"/>
        <w:rPr>
          <w:rFonts w:ascii="Calibri" w:eastAsia="Tahoma" w:hAnsi="Calibri" w:cs="Tahom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 муниципальный округ Ставропольского края (далее - округ) расположен в самом центре Ставропольского края, в переходной зоне от Ставропольской возвышенности (плато) к степному Ставрополью и занимает 2741 кв. км., из них 2438 кв. км. занято сельскохозяйственными угодьями, что составляет 3,9% общей площади используемых сельскохозяйственных угодий Ставропольского края.</w:t>
      </w:r>
    </w:p>
    <w:p w:rsidR="00860187" w:rsidRDefault="00FD7CC3">
      <w:pPr>
        <w:widowControl w:val="0"/>
        <w:tabs>
          <w:tab w:val="left" w:pos="709"/>
        </w:tabs>
        <w:spacing w:before="0" w:after="0" w:line="240" w:lineRule="auto"/>
        <w:ind w:firstLine="737"/>
        <w:jc w:val="both"/>
        <w:rPr>
          <w:rFonts w:ascii="Courier New CYR" w:eastAsia="Calibri" w:hAnsi="Courier New CYR" w:cs="Courier New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состав округа входят город Светлоград и 26 сельских населенных пунктов. Административный центр округа - город Светлоград, в прошлом село Петровское, преобразованное в город в октябре 1965 года. С 01 декабря 2023 года Петровский городской округ Ставропольского края наделен статусом Петровский муниципальный округ Ставропольского края.</w:t>
      </w:r>
    </w:p>
    <w:p w:rsidR="00860187" w:rsidRDefault="00FD7CC3">
      <w:pPr>
        <w:tabs>
          <w:tab w:val="left" w:pos="709"/>
        </w:tabs>
        <w:spacing w:before="0" w:after="0" w:line="240" w:lineRule="auto"/>
        <w:ind w:firstLine="737"/>
        <w:jc w:val="both"/>
        <w:rPr>
          <w:rFonts w:ascii="Courier New CYR" w:eastAsia="Calibri" w:hAnsi="Courier New CYR" w:cs="Courier New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Территория округа расположена в самом центре Ставропольского края, в переходной зоне от Ставропольской возвышенности (плато) к степному Ставрополью и занимает 2741,0 кв. км., из них 2438,2 кв. км. занято сельскохозяйственными угодьями, что составляет 3,9% общей площади используемых сельскохозяйственных угодий Ставропольского края.</w:t>
      </w:r>
    </w:p>
    <w:p w:rsidR="00860187" w:rsidRDefault="00FD7CC3">
      <w:pPr>
        <w:tabs>
          <w:tab w:val="left" w:pos="709"/>
        </w:tabs>
        <w:spacing w:before="0" w:after="0" w:line="240" w:lineRule="auto"/>
        <w:ind w:firstLine="737"/>
        <w:jc w:val="both"/>
        <w:rPr>
          <w:rFonts w:ascii="Times New Roman" w:eastAsia="Calibri" w:hAnsi="Times New Roman" w:cs="Courier New CYR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округа в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характеризовалось положительной динамикой производства продукции сельского хозяйства, объемов розничного товарооборота, увеличением средней месячной заработной платы одного работающего, развитием социальной инфраструктуры, улучшением качества жизни населения.</w:t>
      </w:r>
    </w:p>
    <w:p w:rsidR="00860187" w:rsidRDefault="00FD7CC3">
      <w:pPr>
        <w:tabs>
          <w:tab w:val="left" w:pos="709"/>
        </w:tabs>
        <w:spacing w:before="0"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 сохраняются негативные тенденции: убыточная деятельность ряда предприятий, сокращение численности населения.</w:t>
      </w:r>
    </w:p>
    <w:p w:rsidR="00860187" w:rsidRDefault="00FD7CC3">
      <w:pPr>
        <w:tabs>
          <w:tab w:val="left" w:pos="709"/>
        </w:tabs>
        <w:spacing w:before="0" w:after="0" w:line="240" w:lineRule="auto"/>
        <w:ind w:firstLine="737"/>
        <w:jc w:val="both"/>
        <w:rPr>
          <w:rFonts w:ascii="Times New Roman" w:eastAsia="Calibri" w:hAnsi="Times New Roman" w:cs="Courier New CYR"/>
          <w:sz w:val="28"/>
          <w:szCs w:val="28"/>
        </w:rPr>
      </w:pPr>
      <w:r>
        <w:rPr>
          <w:rFonts w:ascii="Times New Roman" w:eastAsia="Calibri" w:hAnsi="Times New Roman" w:cs="Courier New CYR"/>
          <w:sz w:val="28"/>
          <w:szCs w:val="28"/>
        </w:rPr>
        <w:t>Промышленный комплекс округа включает добычу полезных ископаемых, обрабатывающие производства, обеспечение электрической энергией, газом, а также водоснабжение и водоотведение. Наиболее значительный вклад в развитие экономики округа вносят обрабатывающие предприятия: ОАО «Светлоградагромаш», АО РТП «Петровское», ООО «ДСК ГРАС - Светлоград», филиал ООО «НД-техник» в городе Светлограде, филиал «Светлоградский» ЗАО «Ставропольский бройлер», ИП Матвеев Е.И., ИП Пащенко И.Н., ООО «Светлоградский маслоэкстракционный завод».</w:t>
      </w:r>
    </w:p>
    <w:p w:rsidR="00860187" w:rsidRDefault="00FD7CC3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Courier New CYR" w:eastAsia="Calibri" w:hAnsi="Courier New CYR" w:cs="Courier New CYR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Активную экспортную деятельность ведут ИП Пащенко И.Н.,                      ИП Матвеев Е.И., ООО «Прогресс-Юг», ООО «Ставропольский комбинат хлебопродуктов», ООО Торговый дом «АгроМашТрейд», АО РТП «Петровское», ООО «Светлоградский маслоэкстракционный завод».</w:t>
      </w:r>
    </w:p>
    <w:p w:rsidR="00860187" w:rsidRDefault="00FD7CC3">
      <w:pPr>
        <w:spacing w:before="0"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развития конкуренции между хозяйствующими субъектами в отраслях экономики, решением Совета депутатов Петровского городского округа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14.12.2018 г. № 196 утверждена «Стратегия социально-экономического развития Петровского городского округа Ставропольского края до 2035 года». Документ определяет приоритетные направления развития округа, позволяющие добиться устойчивого экономического роста и конкурентоспособности всех сфер экономики, повышения качества и уровня жизни населения. </w:t>
      </w:r>
    </w:p>
    <w:p w:rsidR="00860187" w:rsidRDefault="00860187">
      <w:pPr>
        <w:spacing w:before="0"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left="1" w:firstLine="708"/>
        <w:jc w:val="both"/>
        <w:rPr>
          <w:rFonts w:ascii="Calibri" w:eastAsia="Tahoma" w:hAnsi="Calibri" w:cs="Tahoma"/>
        </w:rPr>
      </w:pPr>
    </w:p>
    <w:p w:rsidR="00860187" w:rsidRDefault="00FD7CC3">
      <w:pPr>
        <w:numPr>
          <w:ilvl w:val="0"/>
          <w:numId w:val="5"/>
        </w:numPr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итогов опросов потребителей </w:t>
      </w:r>
    </w:p>
    <w:p w:rsidR="00860187" w:rsidRDefault="00FD7CC3">
      <w:pPr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 и услуг.</w:t>
      </w:r>
    </w:p>
    <w:p w:rsidR="00860187" w:rsidRDefault="00860187">
      <w:pPr>
        <w:spacing w:after="0"/>
        <w:rPr>
          <w:rFonts w:ascii="Times New Roman" w:eastAsia="Tahoma" w:hAnsi="Times New Roman" w:cs="Times New Roman"/>
          <w:b/>
          <w:sz w:val="28"/>
          <w:szCs w:val="28"/>
        </w:rPr>
      </w:pPr>
    </w:p>
    <w:p w:rsidR="00860187" w:rsidRDefault="00FD7CC3">
      <w:pPr>
        <w:numPr>
          <w:ilvl w:val="0"/>
          <w:numId w:val="6"/>
        </w:numPr>
        <w:tabs>
          <w:tab w:val="left" w:pos="709"/>
        </w:tabs>
        <w:spacing w:before="0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количества опрошенных потребителей товаров, работ и услуг с учетом их пола, социального статуса, образования в сравнении с прошлым годом.</w:t>
      </w:r>
    </w:p>
    <w:p w:rsidR="00860187" w:rsidRDefault="00860187">
      <w:pPr>
        <w:spacing w:before="0"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0187" w:rsidRDefault="00FD7CC3">
      <w:pPr>
        <w:widowControl w:val="0"/>
        <w:spacing w:before="0" w:after="0" w:line="240" w:lineRule="auto"/>
        <w:ind w:left="20" w:right="120" w:firstLine="720"/>
        <w:jc w:val="both"/>
        <w:rPr>
          <w:rFonts w:ascii="Calibri" w:eastAsia="Tahoma" w:hAnsi="Calibri" w:cs="Tahoma"/>
          <w:sz w:val="26"/>
          <w:szCs w:val="26"/>
        </w:rPr>
      </w:pPr>
      <w:r>
        <w:rPr>
          <w:rFonts w:ascii="Times New Roman" w:eastAsia="Tahoma" w:hAnsi="Times New Roman" w:cs="Times New Roman"/>
          <w:sz w:val="28"/>
          <w:szCs w:val="28"/>
        </w:rPr>
        <w:t>В рамках реализации требований Стандарта развития конкуренции в Ставропольском крае, достижению целей и соблюдению принципов внедрения Стандарта, проведен мониторинг состояния и развития конкурентной среды удовлетворенности потребителей качеством товаров, работ и услуг на товарных рынках Петровского муниципального округа Ставропольского края.</w:t>
      </w:r>
    </w:p>
    <w:p w:rsidR="00860187" w:rsidRDefault="00FD7CC3">
      <w:pPr>
        <w:widowControl w:val="0"/>
        <w:spacing w:before="0" w:after="0" w:line="240" w:lineRule="auto"/>
        <w:ind w:left="20" w:right="120" w:firstLine="720"/>
        <w:jc w:val="both"/>
        <w:rPr>
          <w:rFonts w:ascii="Calibri" w:eastAsia="Tahoma" w:hAnsi="Calibri" w:cs="Tahoma"/>
          <w:sz w:val="26"/>
          <w:szCs w:val="26"/>
        </w:rPr>
      </w:pPr>
      <w:r>
        <w:rPr>
          <w:rFonts w:ascii="Times New Roman" w:eastAsia="Tahoma" w:hAnsi="Times New Roman" w:cs="Times New Roman"/>
          <w:sz w:val="28"/>
          <w:szCs w:val="28"/>
        </w:rPr>
        <w:t>С целью доведения информации до жителей и субъектов предпринимательской деятельности Петровского городского округа Ставропольского края о проводимом опросе, о состоянии конкурентной среды на территории Петровского муниципального округа была проведена следующая работа:</w:t>
      </w:r>
    </w:p>
    <w:p w:rsidR="00860187" w:rsidRDefault="00FD7CC3">
      <w:pPr>
        <w:widowControl w:val="0"/>
        <w:spacing w:before="0" w:after="0" w:line="240" w:lineRule="auto"/>
        <w:ind w:left="20" w:right="120" w:firstLine="720"/>
        <w:jc w:val="both"/>
        <w:rPr>
          <w:rFonts w:ascii="Calibri" w:eastAsia="Tahoma" w:hAnsi="Calibri" w:cs="Tahoma"/>
          <w:sz w:val="26"/>
          <w:szCs w:val="26"/>
        </w:rPr>
      </w:pPr>
      <w:r>
        <w:rPr>
          <w:rFonts w:ascii="Times New Roman" w:eastAsia="Tahoma" w:hAnsi="Times New Roman" w:cs="Times New Roman"/>
          <w:sz w:val="28"/>
          <w:szCs w:val="28"/>
        </w:rPr>
        <w:t>- размещена информация на официальном сайте администрации в информационно-телекоммуникационной сети интернет в разделе «Развитие конкуренции», в разделе «Внедрение стандарта развития конкуренции»;</w:t>
      </w:r>
    </w:p>
    <w:p w:rsidR="00860187" w:rsidRDefault="00FD7CC3">
      <w:pPr>
        <w:widowControl w:val="0"/>
        <w:spacing w:before="0" w:after="0" w:line="240" w:lineRule="auto"/>
        <w:ind w:left="20" w:right="120" w:firstLine="720"/>
        <w:jc w:val="both"/>
        <w:rPr>
          <w:rFonts w:ascii="Calibri" w:eastAsia="Tahoma" w:hAnsi="Calibri" w:cs="Tahoma"/>
          <w:sz w:val="26"/>
          <w:szCs w:val="26"/>
        </w:rPr>
      </w:pPr>
      <w:r>
        <w:rPr>
          <w:rFonts w:ascii="Times New Roman" w:eastAsia="Tahoma" w:hAnsi="Times New Roman" w:cs="Times New Roman"/>
          <w:sz w:val="28"/>
          <w:szCs w:val="28"/>
        </w:rPr>
        <w:t>- проводилось информирование субъектов малого и среднего предпринимательства, обратившихся в отдел развития предпринимательства, торговли и потребительского рынка Петровского муниципального округа Ставропольского края;</w:t>
      </w:r>
    </w:p>
    <w:p w:rsidR="00860187" w:rsidRDefault="00FD7CC3">
      <w:pPr>
        <w:widowControl w:val="0"/>
        <w:spacing w:before="0" w:after="0" w:line="240" w:lineRule="auto"/>
        <w:ind w:left="20" w:right="120" w:firstLine="720"/>
        <w:jc w:val="both"/>
        <w:rPr>
          <w:rFonts w:ascii="Calibri" w:eastAsia="Tahoma" w:hAnsi="Calibri" w:cs="Tahoma"/>
          <w:sz w:val="26"/>
          <w:szCs w:val="26"/>
        </w:rPr>
      </w:pPr>
      <w:r>
        <w:rPr>
          <w:rFonts w:ascii="Times New Roman" w:eastAsia="Tahoma" w:hAnsi="Times New Roman" w:cs="Times New Roman"/>
          <w:sz w:val="28"/>
          <w:szCs w:val="28"/>
        </w:rPr>
        <w:t>- на официальном сайте администрации Петровского муниципального округа Ставропольского края в информационно-телекоммуникационной сети «Интернет» размещены опросные листы о проводимом опросе;</w:t>
      </w:r>
    </w:p>
    <w:p w:rsidR="00860187" w:rsidRDefault="00FD7CC3">
      <w:pPr>
        <w:widowControl w:val="0"/>
        <w:spacing w:before="0" w:after="0" w:line="240" w:lineRule="auto"/>
        <w:ind w:left="20" w:right="120" w:firstLine="720"/>
        <w:jc w:val="both"/>
        <w:rPr>
          <w:rFonts w:ascii="Calibri" w:eastAsia="Tahoma" w:hAnsi="Calibri" w:cs="Tahoma"/>
          <w:sz w:val="26"/>
          <w:szCs w:val="26"/>
        </w:rPr>
      </w:pPr>
      <w:r>
        <w:rPr>
          <w:rFonts w:ascii="Times New Roman" w:eastAsia="Tahoma" w:hAnsi="Times New Roman" w:cs="Times New Roman"/>
          <w:sz w:val="28"/>
          <w:szCs w:val="28"/>
        </w:rPr>
        <w:t>- информация о проведении мониторинга была направлена непосредственно руководителям организаций, малым и средним предприятиям и индивидуальным предпринимателям письмами по электронной почте с целью привлечения к мониторингу работников данных предприятий.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4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Петровского муниципального округа Ставропольского края (далее - Петровский округ) на 1 января 2024 года составила 68600 человек. </w:t>
      </w:r>
    </w:p>
    <w:p w:rsidR="00860187" w:rsidRDefault="00FD7CC3">
      <w:pPr>
        <w:tabs>
          <w:tab w:val="left" w:pos="709"/>
        </w:tabs>
        <w:spacing w:before="0" w:after="0" w:line="240" w:lineRule="auto"/>
        <w:ind w:firstLine="709"/>
        <w:jc w:val="both"/>
        <w:rPr>
          <w:rFonts w:ascii="Courier New CYR" w:eastAsia="Calibri" w:hAnsi="Courier New CYR" w:cs="Courier New CYR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данным Управления Федеральной службы государственной статистики по Северо-Кавказскому федеральному округа по состоянию на                01 января 2024 года в округе зарегистрировано 2175 хозяйствующих субъектов, из них 1756 индивидуальных предпринимателей и 187 юридических лиц.</w:t>
      </w:r>
    </w:p>
    <w:p w:rsidR="00860187" w:rsidRDefault="00FD7CC3">
      <w:pPr>
        <w:shd w:val="clear" w:color="auto" w:fill="FFFFFF"/>
        <w:spacing w:before="0" w:after="0" w:line="240" w:lineRule="auto"/>
        <w:ind w:firstLine="709"/>
        <w:jc w:val="both"/>
        <w:rPr>
          <w:rFonts w:ascii="Calibri" w:eastAsia="Tahoma" w:hAnsi="Calibri" w:cs="Tahom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опросе потребителей товаров и услуг об удовлетворенности потребителей качеством товаров и услуг и ценовой конкуренцией на рынках Ставропольского края в Петровском муниципальном округе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2024 год приняло участие 414 респондентов,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различных социальных слоев населения: работающие, пенсионеры, студенты и безработные, самозанятые,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предприниматели, это на 24 человека больше по сравнению с 2023 годом, что составляет 0,6% от общей численности населения округа.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38" w:type="dxa"/>
        <w:tblInd w:w="221" w:type="dxa"/>
        <w:tblLayout w:type="fixed"/>
        <w:tblLook w:val="0000" w:firstRow="0" w:lastRow="0" w:firstColumn="0" w:lastColumn="0" w:noHBand="0" w:noVBand="0"/>
      </w:tblPr>
      <w:tblGrid>
        <w:gridCol w:w="4497"/>
        <w:gridCol w:w="2437"/>
        <w:gridCol w:w="2304"/>
      </w:tblGrid>
      <w:tr w:rsidR="00860187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2024 год</w:t>
            </w:r>
          </w:p>
        </w:tc>
      </w:tr>
      <w:tr w:rsidR="00860187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rPr>
                <w:rFonts w:ascii="Calibri" w:eastAsia="Tahoma" w:hAnsi="Calibri" w:cs="Tahoma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Количество опрошенных потребителей, человек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414</w:t>
            </w:r>
          </w:p>
        </w:tc>
      </w:tr>
      <w:tr w:rsidR="00860187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Общая численность населения,</w:t>
            </w:r>
          </w:p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68882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68600</w:t>
            </w:r>
          </w:p>
        </w:tc>
      </w:tr>
      <w:tr w:rsidR="00860187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Доля потребителей, принявших участие в опросе при проведении мониторинга, в общей численности населения муниципального образования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0,6</w:t>
            </w:r>
          </w:p>
        </w:tc>
      </w:tr>
    </w:tbl>
    <w:p w:rsidR="00860187" w:rsidRDefault="00860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60187" w:rsidRDefault="00FD7C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ходе опроса респонденты ответили на вопросы о количестве организаций, представляющих товары и услуги, и динамике их численности; уровне удовлетворенности качеством товаров и услуг на товарных рынках в своем населенном пункте и состоянием ценовой конкуренции; уровне удовлетворенности качеством услуг субъектов естественных монополий и качестве официальной информации о состоянии конкурентной среды на рынках товаров и услуг. 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опросе потребителей товаров и услуг об удовлетворенности потребителей качеством товаров и услуг и ценовой конкуренцией на рынках Ставропольского края в Петровском муниципальном округе за 2024 годприняло участие 414 респондентов, из различных социальных слоев населения: работающие, пенсионеры, студенты и безработные, самозанятые, предприниматели, это на 24 человека больше по сравнению с 2023 годом, что составляет 0,6% от общей численности населения округа.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38" w:type="dxa"/>
        <w:tblInd w:w="221" w:type="dxa"/>
        <w:tblLayout w:type="fixed"/>
        <w:tblLook w:val="0000" w:firstRow="0" w:lastRow="0" w:firstColumn="0" w:lastColumn="0" w:noHBand="0" w:noVBand="0"/>
      </w:tblPr>
      <w:tblGrid>
        <w:gridCol w:w="4497"/>
        <w:gridCol w:w="2437"/>
        <w:gridCol w:w="2304"/>
      </w:tblGrid>
      <w:tr w:rsidR="00860187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2024 год</w:t>
            </w:r>
          </w:p>
        </w:tc>
      </w:tr>
      <w:tr w:rsidR="00860187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rPr>
                <w:rFonts w:ascii="Calibri" w:eastAsia="Tahoma" w:hAnsi="Calibri" w:cs="Tahoma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Количество опрошенных потребителей, человек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414</w:t>
            </w:r>
          </w:p>
        </w:tc>
      </w:tr>
      <w:tr w:rsidR="00860187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Общая численность населения,</w:t>
            </w:r>
          </w:p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68882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69733</w:t>
            </w:r>
          </w:p>
        </w:tc>
      </w:tr>
      <w:tr w:rsidR="00860187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lastRenderedPageBreak/>
              <w:t>Доля потребителей, принявших участие в опросе при проведении мониторинга, в общей численности населения муниципального образования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0,6</w:t>
            </w:r>
          </w:p>
        </w:tc>
      </w:tr>
    </w:tbl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конкуренции и характеристики товаров и услуг на рынках Петровского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оценивали 221 женщин, 193 мужчины.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Преобладающей частью респондентов были женщины (53,4% опрошенных), наблюдается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увеличение активности со стороны респондентов женского пола (на7,3% больше проведенного опроса прошлого года), и увеличение со стороны мужского пола (на 4,9%).</w:t>
      </w:r>
    </w:p>
    <w:p w:rsidR="00A10912" w:rsidRDefault="00A10912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60187" w:rsidRDefault="00A10912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0F4CC" wp14:editId="641C0C0D">
            <wp:extent cx="5225441" cy="3174365"/>
            <wp:effectExtent l="0" t="0" r="0" b="0"/>
            <wp:docPr id="17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0912" w:rsidRDefault="00A10912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912" w:rsidRDefault="00A10912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912" w:rsidRDefault="00A10912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опрошено респондентов в возрасте от 45 до 54 лет (30,4%) и до 44 лет (29,0%). Среди опрошенных потребителей товаров, работ и услуг лиц от 25 до 34 лет оказалось в целом 23,9%, до 24 лет 7,0% и от 55 и старше 9,7%.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Calibri" w:eastAsia="Tahoma" w:hAnsi="Calibri" w:cs="Tahom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в числе опрошенных, как и в предыдущие годы, занимают работающие граждане – 61,1% (в 2023 г. – 64,6%). Среди опрошенных доля предпринимателей и самозанятых составила 31,7% (в 2023 г. – 28,5%), учащихся (студентов) – 4,1% (в 2023 г. – 4,1%). Неработающие (в том числе пенсионеры и домохозяйки, временно неработающие) составили 3,1 % (в 2023 г. – 2,8 %).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40655" cy="225298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Calibri" w:eastAsia="Tahoma" w:hAnsi="Calibri" w:cs="Tahom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числа респондентов по уровню образования: 67,7% имеют высшее образование, что на 0,2 % увеличилось по сравнению с прошлым годом, имеющих среднее специальное образование уменьшилось на 0,1 % и составило 24,6 % (в 2023 году –  25,6 %), а число респондентов имеющих основное и среднее общее образование увеличилось на 0,8 % и составило 7,7% (в 2023 году – 6,9 %).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81675" cy="18859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социально-демографические характеристики респондентов принявших участие в опросе приведены в таблице №1.</w:t>
      </w:r>
    </w:p>
    <w:p w:rsidR="00860187" w:rsidRDefault="00FD7CC3">
      <w:pPr>
        <w:spacing w:before="0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 №1</w:t>
      </w:r>
    </w:p>
    <w:tbl>
      <w:tblPr>
        <w:tblW w:w="9510" w:type="dxa"/>
        <w:tblInd w:w="209" w:type="dxa"/>
        <w:tblLayout w:type="fixed"/>
        <w:tblLook w:val="0000" w:firstRow="0" w:lastRow="0" w:firstColumn="0" w:lastColumn="0" w:noHBand="0" w:noVBand="0"/>
      </w:tblPr>
      <w:tblGrid>
        <w:gridCol w:w="6250"/>
        <w:gridCol w:w="1700"/>
        <w:gridCol w:w="1560"/>
      </w:tblGrid>
      <w:tr w:rsidR="00860187">
        <w:trPr>
          <w:trHeight w:val="142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187" w:rsidRDefault="00860187">
            <w:pPr>
              <w:widowControl w:val="0"/>
              <w:spacing w:before="0" w:after="0" w:line="240" w:lineRule="auto"/>
              <w:ind w:firstLine="709"/>
              <w:jc w:val="both"/>
              <w:rPr>
                <w:rFonts w:ascii="Calibri" w:eastAsia="Tahoma" w:hAnsi="Calibri" w:cs="Tahom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</w:tr>
      <w:tr w:rsidR="00860187">
        <w:trPr>
          <w:trHeight w:val="233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КОЛИЧЕСТВО ОПРОШЕННЫХ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414</w:t>
            </w:r>
          </w:p>
        </w:tc>
      </w:tr>
      <w:tr w:rsidR="00860187">
        <w:trPr>
          <w:trHeight w:val="252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ОПРОШЕННЫХ:</w:t>
            </w:r>
          </w:p>
        </w:tc>
      </w:tr>
      <w:tr w:rsidR="00860187">
        <w:trPr>
          <w:trHeight w:val="247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Мужского пола , %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47,2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46,6</w:t>
            </w:r>
          </w:p>
        </w:tc>
      </w:tr>
      <w:tr w:rsidR="00860187">
        <w:trPr>
          <w:trHeight w:val="252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Женского пола, %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53,4</w:t>
            </w:r>
          </w:p>
        </w:tc>
      </w:tr>
      <w:tr w:rsidR="00860187">
        <w:trPr>
          <w:trHeight w:val="178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ОПРОШЕННЫХ, ИМЕЮЩИХ СОЦИАЛЬНЫЙ СТАТУС:</w:t>
            </w:r>
          </w:p>
        </w:tc>
      </w:tr>
      <w:tr w:rsidR="00860187">
        <w:trPr>
          <w:trHeight w:val="194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Работающий , %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61,1</w:t>
            </w:r>
          </w:p>
        </w:tc>
      </w:tr>
      <w:tr w:rsidR="00860187">
        <w:trPr>
          <w:trHeight w:val="290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Безработный, %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860187">
        <w:trPr>
          <w:trHeight w:val="207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Учащийся/студент , %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4,1</w:t>
            </w:r>
          </w:p>
        </w:tc>
      </w:tr>
      <w:tr w:rsidR="00860187">
        <w:trPr>
          <w:trHeight w:val="303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Домохозяйка (домохозяин), %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</w:t>
            </w:r>
          </w:p>
        </w:tc>
      </w:tr>
      <w:tr w:rsidR="00860187">
        <w:trPr>
          <w:trHeight w:val="303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Самозанятый, %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3,7</w:t>
            </w:r>
          </w:p>
        </w:tc>
      </w:tr>
      <w:tr w:rsidR="00860187">
        <w:trPr>
          <w:trHeight w:val="303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28,0</w:t>
            </w:r>
          </w:p>
        </w:tc>
      </w:tr>
      <w:tr w:rsidR="00860187">
        <w:trPr>
          <w:trHeight w:val="254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Пенсионер, %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1,7</w:t>
            </w:r>
          </w:p>
        </w:tc>
      </w:tr>
      <w:tr w:rsidR="00860187">
        <w:trPr>
          <w:trHeight w:val="164"/>
        </w:trPr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КОЛИЧЕСТВО ОПРОШЕННЫХ, ИМЕЮЩИХ ОБРАЗОВАНИЕ:</w:t>
            </w:r>
          </w:p>
        </w:tc>
      </w:tr>
      <w:tr w:rsidR="00860187">
        <w:trPr>
          <w:trHeight w:val="224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образование, %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2,7</w:t>
            </w:r>
          </w:p>
        </w:tc>
      </w:tr>
      <w:tr w:rsidR="00860187">
        <w:trPr>
          <w:trHeight w:val="224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среднее образование, %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5,1</w:t>
            </w:r>
          </w:p>
        </w:tc>
      </w:tr>
      <w:tr w:rsidR="00860187">
        <w:trPr>
          <w:trHeight w:val="320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 образование, %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24,6</w:t>
            </w:r>
          </w:p>
        </w:tc>
      </w:tr>
      <w:tr w:rsidR="00860187">
        <w:trPr>
          <w:trHeight w:val="186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 - бакалавриат, %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42,0</w:t>
            </w:r>
          </w:p>
        </w:tc>
      </w:tr>
      <w:tr w:rsidR="00860187">
        <w:trPr>
          <w:trHeight w:val="186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образование-специалист, магистратура, %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24,2</w:t>
            </w:r>
          </w:p>
        </w:tc>
      </w:tr>
      <w:tr w:rsidR="00860187">
        <w:trPr>
          <w:trHeight w:val="186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образование-подготовка кадров высшей квалификации, %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</w:t>
            </w:r>
          </w:p>
        </w:tc>
      </w:tr>
      <w:tr w:rsidR="00860187">
        <w:trPr>
          <w:trHeight w:val="186"/>
        </w:trPr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степень, %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52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860187" w:rsidRDefault="0086018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pStyle w:val="afa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оценки потребителями товарных рынков посредством ценообразования, качества и возможности выбора товаров и услуг по каждому рынку в сравнении с прошлым годом.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оценки потребителями товарных рынков посредством удовлетворенности ценообразованием, качеством и возможностью выбора товаров и услуг приведены в таблице 2.</w:t>
      </w:r>
    </w:p>
    <w:p w:rsidR="00860187" w:rsidRDefault="00FD7CC3">
      <w:pPr>
        <w:spacing w:before="0" w:after="0" w:line="240" w:lineRule="auto"/>
        <w:ind w:left="7787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</w:p>
    <w:tbl>
      <w:tblPr>
        <w:tblW w:w="9416" w:type="dxa"/>
        <w:tblInd w:w="213" w:type="dxa"/>
        <w:tblLayout w:type="fixed"/>
        <w:tblLook w:val="0000" w:firstRow="0" w:lastRow="0" w:firstColumn="0" w:lastColumn="0" w:noHBand="0" w:noVBand="0"/>
      </w:tblPr>
      <w:tblGrid>
        <w:gridCol w:w="3654"/>
        <w:gridCol w:w="912"/>
        <w:gridCol w:w="882"/>
        <w:gridCol w:w="992"/>
        <w:gridCol w:w="993"/>
        <w:gridCol w:w="850"/>
        <w:gridCol w:w="1133"/>
      </w:tblGrid>
      <w:tr w:rsidR="00860187">
        <w:trPr>
          <w:trHeight w:val="330"/>
        </w:trPr>
        <w:tc>
          <w:tcPr>
            <w:tcW w:w="3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ind w:firstLine="709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рынка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цен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выбора</w:t>
            </w:r>
          </w:p>
        </w:tc>
      </w:tr>
      <w:tr w:rsidR="00860187">
        <w:trPr>
          <w:trHeight w:val="177"/>
        </w:trPr>
        <w:tc>
          <w:tcPr>
            <w:tcW w:w="3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860187">
            <w:pPr>
              <w:widowControl w:val="0"/>
              <w:snapToGrid w:val="0"/>
              <w:rPr>
                <w:rFonts w:ascii="Calibri" w:eastAsia="Tahoma" w:hAnsi="Calibri" w:cs="Tahoma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860187">
        <w:trPr>
          <w:trHeight w:val="231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дошкольного образования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83,1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82,3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89,4</w:t>
            </w:r>
          </w:p>
        </w:tc>
      </w:tr>
      <w:tr w:rsidR="00860187">
        <w:trPr>
          <w:trHeight w:val="108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общего образования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89,9</w:t>
            </w:r>
          </w:p>
        </w:tc>
      </w:tr>
      <w:tr w:rsidR="00860187">
        <w:trPr>
          <w:trHeight w:val="414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82,9</w:t>
            </w:r>
          </w:p>
        </w:tc>
      </w:tr>
      <w:tr w:rsidR="00860187">
        <w:trPr>
          <w:trHeight w:val="414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79,2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85,7</w:t>
            </w:r>
          </w:p>
        </w:tc>
      </w:tr>
      <w:tr w:rsidR="00860187">
        <w:trPr>
          <w:trHeight w:val="10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860187">
        <w:trPr>
          <w:trHeight w:val="10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медицинских услуг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65,7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81,4</w:t>
            </w:r>
          </w:p>
        </w:tc>
      </w:tr>
      <w:tr w:rsidR="00860187">
        <w:trPr>
          <w:trHeight w:val="123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35,6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92,3</w:t>
            </w:r>
          </w:p>
        </w:tc>
      </w:tr>
      <w:tr w:rsidR="00860187">
        <w:trPr>
          <w:trHeight w:val="724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Рынок услуг психолого-педагогического сопровождения детей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ограниченными возможностями здоровья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19,2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12,8</w:t>
            </w:r>
          </w:p>
        </w:tc>
      </w:tr>
      <w:tr w:rsidR="00860187">
        <w:trPr>
          <w:trHeight w:val="724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 социальных услуг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87,0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86,0</w:t>
            </w:r>
          </w:p>
        </w:tc>
      </w:tr>
      <w:tr w:rsidR="00860187">
        <w:trPr>
          <w:trHeight w:val="724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ритуальных услуг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87,7</w:t>
            </w:r>
          </w:p>
        </w:tc>
      </w:tr>
      <w:tr w:rsidR="00860187">
        <w:trPr>
          <w:trHeight w:val="5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80,7</w:t>
            </w:r>
          </w:p>
        </w:tc>
      </w:tr>
      <w:tr w:rsidR="00860187">
        <w:trPr>
          <w:trHeight w:val="546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77,9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81,4</w:t>
            </w:r>
          </w:p>
        </w:tc>
      </w:tr>
      <w:tr w:rsidR="00860187">
        <w:trPr>
          <w:trHeight w:val="546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84,1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85,7</w:t>
            </w:r>
          </w:p>
        </w:tc>
      </w:tr>
      <w:tr w:rsidR="00860187">
        <w:trPr>
          <w:trHeight w:val="546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51,4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86,5</w:t>
            </w:r>
          </w:p>
        </w:tc>
      </w:tr>
      <w:tr w:rsidR="00860187">
        <w:trPr>
          <w:trHeight w:val="283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88,0</w:t>
            </w:r>
          </w:p>
        </w:tc>
      </w:tr>
      <w:tr w:rsidR="00860187">
        <w:trPr>
          <w:trHeight w:val="628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83,1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84,5</w:t>
            </w:r>
          </w:p>
        </w:tc>
      </w:tr>
      <w:tr w:rsidR="00860187">
        <w:trPr>
          <w:trHeight w:val="994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860187">
        <w:trPr>
          <w:trHeight w:val="527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88,4</w:t>
            </w:r>
          </w:p>
        </w:tc>
      </w:tr>
      <w:tr w:rsidR="00860187">
        <w:trPr>
          <w:trHeight w:val="736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89,1</w:t>
            </w:r>
          </w:p>
        </w:tc>
      </w:tr>
      <w:tr w:rsidR="00860187">
        <w:trPr>
          <w:trHeight w:val="662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оказания услуг по перевозке пассажиров и багажа легковым такси на территории Ставропольского края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89,7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86,2</w:t>
            </w:r>
          </w:p>
        </w:tc>
      </w:tr>
      <w:tr w:rsidR="00860187">
        <w:trPr>
          <w:trHeight w:val="662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оказания услуг по  ремонту автотранспортных средств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84,6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89,4</w:t>
            </w:r>
          </w:p>
        </w:tc>
      </w:tr>
      <w:tr w:rsidR="00860187">
        <w:trPr>
          <w:trHeight w:val="55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связи, в том числе услуг по предоставлению широкополосного доступа к сети «Интернет»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85,3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жилищного строительства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77,2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77,8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71,8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69,8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72,0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76,2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74,6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77,5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20,8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72,8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71,7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74,2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85,4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86,2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74,1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74,4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72,7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Рынок племенного животноводства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84,9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84,3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семеноводства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86,5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89,1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вылова водных биоресурсов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84,1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83,6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переработки водных биоресурсов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79,0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72,7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76,3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товарной аквакультуры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77,5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75,6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76,1</w:t>
            </w:r>
          </w:p>
        </w:tc>
      </w:tr>
      <w:tr w:rsidR="00860187">
        <w:trPr>
          <w:trHeight w:val="139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нефтепродуктов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80,9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83,1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легкой промышленности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22,5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77,3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производства кирпича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79,7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83,1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производства бетона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28,2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27,1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27,1</w:t>
            </w:r>
          </w:p>
        </w:tc>
      </w:tr>
      <w:tr w:rsidR="00860187">
        <w:trPr>
          <w:trHeight w:val="24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наружной рекламы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85,3</w:t>
            </w:r>
          </w:p>
        </w:tc>
      </w:tr>
      <w:tr w:rsidR="00860187">
        <w:trPr>
          <w:trHeight w:val="248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санаторно-курортных и туристических услуг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82,4</w:t>
            </w:r>
          </w:p>
        </w:tc>
      </w:tr>
      <w:tr w:rsidR="00860187">
        <w:trPr>
          <w:trHeight w:val="201"/>
        </w:trPr>
        <w:tc>
          <w:tcPr>
            <w:tcW w:w="36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минеральной воды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71,3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73,4</w:t>
            </w:r>
          </w:p>
        </w:tc>
      </w:tr>
    </w:tbl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востребованными рынками среди населения являются (совершали операции/услуги):услуги розничной торговли лекарственными препаратами, медицинскими изделиями и сопутствующими товарами, услуги такси, услуги связи, рынок нефтепродуктов, рынок реализации сельскохозяйственной продукции.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целом по результатам опроса населения можно отметить, что потребители товаров и услуг удовлетворены ситуацией с их качеством, ценой либо возможностью выбора на большинстве социально значимых приоритетных рынков.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numPr>
          <w:ilvl w:val="0"/>
          <w:numId w:val="1"/>
        </w:numPr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динамики количества организаций, предоставляющих товары и услуги на рынках Петровского муниципального округа Ставропольского края за последние 3 года по каждому рынку.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динамики количества организаций, предоставляющих товары и услуги на рынках Петровского муниципального округа Ставропольского края за последние 3 года приведены в таблице 3.</w:t>
      </w:r>
    </w:p>
    <w:p w:rsidR="00860187" w:rsidRDefault="00FD7CC3">
      <w:pPr>
        <w:spacing w:before="0"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W w:w="9916" w:type="dxa"/>
        <w:jc w:val="center"/>
        <w:tblLayout w:type="fixed"/>
        <w:tblLook w:val="0000" w:firstRow="0" w:lastRow="0" w:firstColumn="0" w:lastColumn="0" w:noHBand="0" w:noVBand="0"/>
      </w:tblPr>
      <w:tblGrid>
        <w:gridCol w:w="3488"/>
        <w:gridCol w:w="602"/>
        <w:gridCol w:w="726"/>
        <w:gridCol w:w="741"/>
        <w:gridCol w:w="617"/>
        <w:gridCol w:w="743"/>
        <w:gridCol w:w="741"/>
        <w:gridCol w:w="725"/>
        <w:gridCol w:w="742"/>
        <w:gridCol w:w="791"/>
      </w:tblGrid>
      <w:tr w:rsidR="00860187">
        <w:trPr>
          <w:trHeight w:val="795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рынка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860187">
        <w:trPr>
          <w:cantSplit/>
          <w:trHeight w:val="226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extDirection w:val="btLr"/>
          </w:tcPr>
          <w:p w:rsidR="00860187" w:rsidRDefault="00FD7CC3">
            <w:pPr>
              <w:widowControl w:val="0"/>
              <w:spacing w:before="0" w:after="0" w:line="240" w:lineRule="auto"/>
              <w:ind w:left="113" w:right="113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Снизилось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extDirection w:val="btLr"/>
          </w:tcPr>
          <w:p w:rsidR="00860187" w:rsidRDefault="00FD7CC3">
            <w:pPr>
              <w:widowControl w:val="0"/>
              <w:spacing w:before="0" w:after="0" w:line="240" w:lineRule="auto"/>
              <w:ind w:left="113" w:right="113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Увеличилось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extDirection w:val="btLr"/>
          </w:tcPr>
          <w:p w:rsidR="00860187" w:rsidRDefault="00FD7CC3">
            <w:pPr>
              <w:widowControl w:val="0"/>
              <w:spacing w:before="0" w:after="0" w:line="240" w:lineRule="auto"/>
              <w:ind w:left="113" w:right="113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изменилось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860187" w:rsidRDefault="00FD7CC3">
            <w:pPr>
              <w:widowControl w:val="0"/>
              <w:spacing w:before="0" w:after="0" w:line="240" w:lineRule="auto"/>
              <w:ind w:left="113" w:right="113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Снизилось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860187" w:rsidRDefault="00FD7CC3">
            <w:pPr>
              <w:widowControl w:val="0"/>
              <w:spacing w:before="0" w:after="0" w:line="240" w:lineRule="auto"/>
              <w:ind w:left="113" w:right="113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Увеличилось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extDirection w:val="btLr"/>
          </w:tcPr>
          <w:p w:rsidR="00860187" w:rsidRDefault="00FD7CC3">
            <w:pPr>
              <w:widowControl w:val="0"/>
              <w:spacing w:before="0" w:after="0" w:line="240" w:lineRule="auto"/>
              <w:ind w:left="113" w:right="113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изменилось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textDirection w:val="btLr"/>
          </w:tcPr>
          <w:p w:rsidR="00860187" w:rsidRDefault="00FD7CC3">
            <w:pPr>
              <w:widowControl w:val="0"/>
              <w:spacing w:before="0" w:after="0" w:line="240" w:lineRule="auto"/>
              <w:ind w:left="113" w:right="113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Снизилось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textDirection w:val="btLr"/>
          </w:tcPr>
          <w:p w:rsidR="00860187" w:rsidRDefault="00FD7CC3">
            <w:pPr>
              <w:widowControl w:val="0"/>
              <w:spacing w:before="0" w:after="0" w:line="240" w:lineRule="auto"/>
              <w:ind w:left="113" w:right="113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Увеличилось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textDirection w:val="btLr"/>
          </w:tcPr>
          <w:p w:rsidR="00860187" w:rsidRDefault="00FD7CC3">
            <w:pPr>
              <w:widowControl w:val="0"/>
              <w:spacing w:before="0" w:after="0" w:line="240" w:lineRule="auto"/>
              <w:ind w:left="113" w:right="113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изменилось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дошкольного образования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tabs>
                <w:tab w:val="left" w:pos="679"/>
              </w:tabs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35,4</w:t>
            </w: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33,8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61,4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общего образования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61,8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29,2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62,8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30,9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28,7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28,7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61,5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28,7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60,4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62,1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медицинских услуг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32,3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61,3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60,1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розничной торговли лекарственными препаратами,  медицинскими изделиями и сопутствующими товарами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65,7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31,8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65,0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31,4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74,1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19,3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72,2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Рынок  социальных услуг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48,3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45,7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ритуальных услуг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43,1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52,1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43,2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50,5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66,2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66,2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27,1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65,5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59,7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34,3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58,5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45,6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47,6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45,4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56,7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34,8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56,8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82,3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80,0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37,7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56,2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56,8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32,3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61,3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31,4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60,1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оказания услуг по перевозке пассажиров автомобильным транспортом  по муниципальным маршрутам регулярных перевозок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37,7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54,9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35,0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52,2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Рынок оказания услуг по перевозке пассажиров автомобильным транспортом  по межмуниципальным маршрутам регулярных перевозок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29,8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65,2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30,3</w:t>
            </w: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65,9</w:t>
            </w: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65,0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оказания услуг по перевозке пассажиров и багажа легковым такси на территории Ставропольского края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29,0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оказания услуг по ремонт автотранспортных средств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40,4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55,3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63,0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33,8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жилищного строительства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86,8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86,2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84,3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15,0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81,9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83,4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82,6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83,6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53,3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43,3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55,3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42,3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87,3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85,5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племенного животноводства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79,0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семеноводства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82,1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вылова водных биоресурсов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59,9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31,8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61,3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61,1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переработки водных биоресурсов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61,2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61,5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61,8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товарной аквакультуры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62,3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58,0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84,3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нефтепродуктов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75,9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75,6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20,5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легкой промышленности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86,0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61,2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62,3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34,8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62,1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производства кирпича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88,4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производства бетона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88,6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наружной рекламы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48,3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42,1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48,8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санаторно-курортных и туристических услуг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84,8</w:t>
            </w:r>
          </w:p>
        </w:tc>
      </w:tr>
      <w:tr w:rsidR="00860187">
        <w:trPr>
          <w:cantSplit/>
          <w:trHeight w:val="55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минеральной воды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  <w:p w:rsidR="00860187" w:rsidRDefault="00860187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90,6</w:t>
            </w:r>
          </w:p>
        </w:tc>
      </w:tr>
    </w:tbl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динамика оценки изменения количества организаций, предоставляющих товары и услуги на рынках округа, в течение последних трех лет положительная. Чаще всего респонденты сообщают о сокращении количества организаций на следующих рынках: рынок услуг детского отдыха и оздоровления (2022 г. – 1,1 %, 2023 г. – 1,5%, 2024 г. - 2,4%), рынок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выполнения работ по содержанию и текущему ремонту общего имущества собственников помещений в многоквартирном доме (2022 г. – 0%, 2023 г. -1,8%, 2024 г. – 2,4%). Как и в 2023 году превышение количества ответов «увеличилось» над «снизилось» на таких рынках как: розничная торговля лекарственными препаратами, медицинскими изделиями и сопутствующими товарами, количество организаций, предоставляющих медицинские услуги, услуги в сфере дорожной деятельности (за исключением проектирования), услуги по реализации сельскохозяйственной продукции, а также услуги по предоставлению широкополосного доступа к сети Интернет. Это свидетельствует о стабильном развитии данного сектора экономики. 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numPr>
          <w:ilvl w:val="0"/>
          <w:numId w:val="1"/>
        </w:num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Динамика оценки качества услуг субъектов естественных монополий в сравнении с прошлым годом.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Потребителям товаров, работ и услуг Петровского муниципального округа Ставропольского края было предложено оценить качество услуг субъектов естественных монополий на территории округа </w:t>
      </w:r>
      <w:r>
        <w:rPr>
          <w:rFonts w:ascii="Times New Roman" w:hAnsi="Times New Roman" w:cs="Times New Roman"/>
          <w:sz w:val="28"/>
          <w:szCs w:val="28"/>
        </w:rPr>
        <w:t>(водоснабжение и водоотведение, водоочистка, газоснабжение, электроснабжение, теплоснабжение, телефонная связь).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по всем субъектам естественных монополий преобладают удовлетворительные оценки качества услуг: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водоснабжение, водоотведение – - 68,5 % (в 2022 г - 69,7%, в 2021 г. -64,9%);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водоочистка – 53,6% (2022 г. -53,0%, 2021 г. - 51,3%);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газоснабжение – 69,5% (2022 г.  - 67,8%, 20121 г. - 64,0%);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электроснабжение –92,3% (2022 г. - 91,6 %, 2021 г. -87,8%);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теплоснабжение – 79,7%, 2022 г.  - 80,5%, 2021 г. - 78,4%;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415290</wp:posOffset>
            </wp:positionH>
            <wp:positionV relativeFrom="page">
              <wp:posOffset>6781165</wp:posOffset>
            </wp:positionV>
            <wp:extent cx="5342255" cy="3038475"/>
            <wp:effectExtent l="0" t="0" r="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телефонная связь, сеть «Интернет» – 69,7% (2022 г. - 68,6%, 2021 г. -65,4%.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респонденты склонны чаще ставить негативные оценки</w:t>
      </w:r>
    </w:p>
    <w:p w:rsidR="002A4098" w:rsidRDefault="002A409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098" w:rsidRDefault="002A409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098" w:rsidRDefault="002A409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098" w:rsidRDefault="002A409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098" w:rsidRDefault="002A409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098" w:rsidRDefault="002A409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098" w:rsidRDefault="002A409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098" w:rsidRDefault="002A409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098" w:rsidRDefault="002A409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098" w:rsidRDefault="002A409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098" w:rsidRDefault="002A409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098" w:rsidRDefault="002A409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098" w:rsidRDefault="002A409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098" w:rsidRDefault="002A409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098" w:rsidRDefault="002A409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098" w:rsidRDefault="002A4098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водоочистке, водоснабжению, водоотведению. Наиболее позитивно оценивается электроснабжение и газоснабжение.</w:t>
      </w:r>
    </w:p>
    <w:p w:rsidR="00860187" w:rsidRDefault="00FD7CC3"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потребитель так или иначе взаимодействует с субъектами естественных монополий. Часть респондентов смогли выделить основные проблемы при этом взаимодействии. Более 55,8% респондентов сталкиваются с навязыванием дополнительных услуг и взиманием дополнительной оплаты со стороны субъектов естественных монополий. При этом чуть более 31,4% опрошенных не сталкивались с подобными проблемами (Таблица 4). </w:t>
      </w:r>
    </w:p>
    <w:p w:rsidR="00860187" w:rsidRDefault="00860187"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 «С какими проблемами Вы столкнулись при взаимодействии с субъектами естественных монополий?»</w:t>
      </w:r>
    </w:p>
    <w:p w:rsidR="00860187" w:rsidRDefault="0086018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478"/>
        <w:gridCol w:w="2092"/>
      </w:tblGrid>
      <w:tr w:rsidR="00860187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0187" w:rsidRDefault="00860187"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проблемы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от ответивших на вопрос</w:t>
            </w:r>
          </w:p>
        </w:tc>
      </w:tr>
      <w:tr w:rsidR="00860187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Взимание дополнительной платы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0187" w:rsidRDefault="00FD7CC3">
            <w:pPr>
              <w:widowControl w:val="0"/>
              <w:spacing w:before="0" w:after="0" w:line="240" w:lineRule="auto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13,3%</w:t>
            </w:r>
          </w:p>
        </w:tc>
      </w:tr>
      <w:tr w:rsidR="00860187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Навязывание дополнительных услуг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0187" w:rsidRDefault="00FD7CC3">
            <w:pPr>
              <w:widowControl w:val="0"/>
              <w:spacing w:before="0" w:after="0" w:line="240" w:lineRule="auto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42,5%</w:t>
            </w:r>
          </w:p>
        </w:tc>
      </w:tr>
      <w:tr w:rsidR="00860187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с заменой приборов учета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0187" w:rsidRDefault="00FD7CC3">
            <w:pPr>
              <w:widowControl w:val="0"/>
              <w:spacing w:before="0" w:after="0" w:line="240" w:lineRule="auto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6,8%</w:t>
            </w:r>
          </w:p>
        </w:tc>
      </w:tr>
      <w:tr w:rsidR="00860187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0187" w:rsidRDefault="00FD7CC3">
            <w:pPr>
              <w:widowControl w:val="0"/>
              <w:spacing w:before="0" w:after="0" w:line="240" w:lineRule="auto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6,0%</w:t>
            </w:r>
          </w:p>
        </w:tc>
      </w:tr>
      <w:tr w:rsidR="00860187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сталкивался с подобными проблемами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0187" w:rsidRDefault="00FD7CC3">
            <w:pPr>
              <w:widowControl w:val="0"/>
              <w:spacing w:before="0" w:after="0" w:line="240" w:lineRule="auto"/>
              <w:rPr>
                <w:rFonts w:ascii="Calibri" w:eastAsia="Tahoma" w:hAnsi="Calibri" w:cs="Tahom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31,4%</w:t>
            </w:r>
          </w:p>
        </w:tc>
      </w:tr>
    </w:tbl>
    <w:p w:rsidR="00860187" w:rsidRDefault="0086018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numPr>
          <w:ilvl w:val="0"/>
          <w:numId w:val="1"/>
        </w:num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удовлетворенности качеством официальной информации о состоянии конкурентной среды на товарных рынках, размещаемой в открытом доступе, в сравнении с прошлым годом.</w:t>
      </w:r>
    </w:p>
    <w:p w:rsidR="00860187" w:rsidRDefault="00860187">
      <w:pPr>
        <w:spacing w:before="0"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официальной информации о состоянии конкурентной среды на рынках товаров, работ и услуг </w:t>
      </w:r>
      <w:r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="006E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деятельности по содействию развитию конкуренции в округе производилась по трем основным критериям: уровень доступности, уровень понятности, удобство получения. Предметам оценивания являлась информация, размещенная </w:t>
      </w:r>
      <w:r>
        <w:rPr>
          <w:rFonts w:ascii="Times New Roman" w:hAnsi="Times New Roman" w:cs="Times New Roman"/>
          <w:sz w:val="28"/>
          <w:szCs w:val="28"/>
        </w:rPr>
        <w:t>в открытом доступе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из этих параметров респонденты также высказывали степень своей удовлетворенности. В результате, как и годом ранее, доля опрошенных, в той или иной мере удовлетворенных уровнем понятности, доступности и удобством получения официальной информации, существенно превысило долю неудовлетворенных респондентов по данным критериям.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97,8% респондентов (97,2% в 2023 году), официальная информация о состоянии конкурентной среды на товарных рынках, размещаемой в открытом доступе, стала более доступной. Показатель понятности размещаемой информации увеличился и составил 98,1%, что на 0,2% больше по сравнению с прошлым годом (97,9% в 2023 году), а число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удовлетворенных удобством получения информации составило 96,6%, что на 0,4 % больше по сравнению с 2023 годом (96,2% в 2023 году). 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400" cy="3581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60187" w:rsidRDefault="00860187">
      <w:pPr>
        <w:pStyle w:val="afa"/>
        <w:jc w:val="both"/>
        <w:rPr>
          <w:sz w:val="28"/>
          <w:szCs w:val="28"/>
        </w:rPr>
      </w:pPr>
    </w:p>
    <w:p w:rsidR="00860187" w:rsidRDefault="00FD7CC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итогов опросов субъектов предпринимательской деятельности</w:t>
      </w:r>
    </w:p>
    <w:p w:rsidR="00860187" w:rsidRDefault="0086018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0187" w:rsidRDefault="00FD7CC3">
      <w:pPr>
        <w:numPr>
          <w:ilvl w:val="0"/>
          <w:numId w:val="2"/>
        </w:numPr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количества опрошенных субъектов предпринимательской деятельности с учетом их сферы деятельности и вида производимой продукции в сравнении с прошлым годом.</w:t>
      </w:r>
    </w:p>
    <w:p w:rsidR="00860187" w:rsidRDefault="00860187">
      <w:pPr>
        <w:spacing w:before="0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опросе субъектов предпринимательской деятельности для проведения мониторинга состояния и развития конкурентной среды на рынках товаров и услуг Петровского муниципального округа Ставропольского края в муниципальном образовании за 2024 год принял участие 131субъект,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представляющих 25 товарных рынка,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время как в 2023 году 111 субъекта МСП были представителями 23 товарных рынков.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4000"/>
          <w:lang w:eastAsia="ru-RU"/>
        </w:rPr>
      </w:pPr>
    </w:p>
    <w:tbl>
      <w:tblPr>
        <w:tblStyle w:val="aff1"/>
        <w:tblW w:w="92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57"/>
        <w:gridCol w:w="1843"/>
        <w:gridCol w:w="1838"/>
      </w:tblGrid>
      <w:tr w:rsidR="00860187">
        <w:tc>
          <w:tcPr>
            <w:tcW w:w="5557" w:type="dxa"/>
            <w:vAlign w:val="center"/>
          </w:tcPr>
          <w:p w:rsidR="00860187" w:rsidRDefault="008601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60187" w:rsidRDefault="0086018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860187" w:rsidRDefault="00FD7C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838" w:type="dxa"/>
            <w:vAlign w:val="center"/>
          </w:tcPr>
          <w:p w:rsidR="00860187" w:rsidRDefault="00FD7C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 год</w:t>
            </w:r>
          </w:p>
        </w:tc>
      </w:tr>
      <w:tr w:rsidR="00860187">
        <w:tc>
          <w:tcPr>
            <w:tcW w:w="5557" w:type="dxa"/>
          </w:tcPr>
          <w:p w:rsidR="00860187" w:rsidRDefault="00FD7CC3">
            <w:pPr>
              <w:spacing w:before="0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Количество опрошенных субъектов предпринимательской деятельности, единиц</w:t>
            </w:r>
          </w:p>
        </w:tc>
        <w:tc>
          <w:tcPr>
            <w:tcW w:w="1843" w:type="dxa"/>
            <w:vAlign w:val="center"/>
          </w:tcPr>
          <w:p w:rsidR="00860187" w:rsidRDefault="00FD7C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1838" w:type="dxa"/>
            <w:vAlign w:val="center"/>
          </w:tcPr>
          <w:p w:rsidR="00860187" w:rsidRDefault="00FD7C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131</w:t>
            </w:r>
          </w:p>
        </w:tc>
      </w:tr>
      <w:tr w:rsidR="00860187">
        <w:tc>
          <w:tcPr>
            <w:tcW w:w="5557" w:type="dxa"/>
          </w:tcPr>
          <w:p w:rsidR="00860187" w:rsidRDefault="00FD7CC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Общая численность хозяйствующих субъектов муниципального образования, единиц</w:t>
            </w:r>
          </w:p>
        </w:tc>
        <w:tc>
          <w:tcPr>
            <w:tcW w:w="1843" w:type="dxa"/>
            <w:vAlign w:val="center"/>
          </w:tcPr>
          <w:p w:rsidR="00860187" w:rsidRDefault="00FD7C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1852</w:t>
            </w:r>
          </w:p>
        </w:tc>
        <w:tc>
          <w:tcPr>
            <w:tcW w:w="1838" w:type="dxa"/>
            <w:vAlign w:val="center"/>
          </w:tcPr>
          <w:p w:rsidR="00860187" w:rsidRDefault="00FD7C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1943</w:t>
            </w:r>
          </w:p>
        </w:tc>
      </w:tr>
      <w:tr w:rsidR="00860187">
        <w:tc>
          <w:tcPr>
            <w:tcW w:w="5557" w:type="dxa"/>
          </w:tcPr>
          <w:p w:rsidR="00860187" w:rsidRDefault="00FD7CC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Доля хозяйствующих субъектов, опрошенных для проведения мониторинга состояния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развития конкурентной среды, в общей численности хозяйствующих субъектов,%</w:t>
            </w:r>
          </w:p>
        </w:tc>
        <w:tc>
          <w:tcPr>
            <w:tcW w:w="1843" w:type="dxa"/>
            <w:vAlign w:val="center"/>
          </w:tcPr>
          <w:p w:rsidR="00860187" w:rsidRDefault="00FD7C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0,06</w:t>
            </w:r>
          </w:p>
        </w:tc>
        <w:tc>
          <w:tcPr>
            <w:tcW w:w="1838" w:type="dxa"/>
            <w:vAlign w:val="center"/>
          </w:tcPr>
          <w:p w:rsidR="00860187" w:rsidRDefault="00FD7C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0,07</w:t>
            </w:r>
          </w:p>
        </w:tc>
      </w:tr>
    </w:tbl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131 анкеты заполнили представители бизнеса: 77,1% - представители индивидуальных предпринимателей и микропредприятий с численностью до 15 человек, 17,6% - малых предприятий и 5,3% крупных и средних предприятий.</w:t>
      </w:r>
    </w:p>
    <w:p w:rsidR="00860187" w:rsidRDefault="00FD7CC3">
      <w:pPr>
        <w:spacing w:before="0"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Из 131 представителей бизнеса, которые были опрошены, более половины (57,2%) являются собственниками бизнеса (совладельцами), руководителями высшего звена (генеральный директор, заместитель генерального директора или иная аналогичная позиция) являются 14,5%, еще 13% являются руководителями среднего звена (руководитель управления /подразделения / отдела) и 15,3,% – не руководящими сотрудниками.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4000"/>
          <w:lang w:eastAsia="ru-RU"/>
        </w:rPr>
      </w:pPr>
    </w:p>
    <w:p w:rsidR="00860187" w:rsidRDefault="00FD7CC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4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91225" cy="41719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64,9% субъектов предпринимательской деятельности, представители которых были опрошены, действуют на рынке более 5 лет; 24,4% предприятий и организаций осуществляют деятельность от 1 до 5 лет;10,7% пришлось на начинающих предпринимателей.</w:t>
      </w:r>
    </w:p>
    <w:p w:rsidR="00860187" w:rsidRDefault="00FD7CC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00750" cy="33813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6D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опросе приняли участие преимущественно владельцы и руководители организаций, осуществляющих деятельность более 5 лет, – это более 65,0% опрошенных, имеющих существенный опыт осуществления предпринимательской деятельности и способных объективно оценивать рыночную и конкурентную среду ведения бизнеса.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6D"/>
        </w:rPr>
      </w:pPr>
      <w:r>
        <w:rPr>
          <w:rFonts w:ascii="Times New Roman" w:eastAsia="Tahoma" w:hAnsi="Times New Roman" w:cs="Times New Roman"/>
          <w:sz w:val="28"/>
          <w:szCs w:val="28"/>
        </w:rPr>
        <w:t>По величине годового оборота бизнеса ответы респондентов распределились следующим образом: до 120 миллионов рублей (микропредприятие) – 80,2%, от 120 до 800 миллионов рублей (малое предприятие) – 14,5%, от 800 до 2000 миллионов рублей (среднее предприятие) – 5,3%.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860187" w:rsidRDefault="00FD7CC3">
      <w:pPr>
        <w:spacing w:before="0"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62625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сделать вывод о том, что из всех представителей бизнеса, принявших участие в опросе в 2024 году, превалируют микропредприятия с численностью сотрудников до 15 человек и величиной годового оборота не более 120 млн. рублей.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(20,6 %), респондентов заявили, что их организации занимаются оптово-розничной торговлей; 45,1% респондентов предоставляют сферу услуг, из них 9,2% представляют медицинские услуги и транспортные услуги 21,6%, на производство конечной продукции приходится 30,6%, из них производство сельскохозяйственной продукции составляет 9%, строительство составляет 1,8% количества опрошенных. Прочие виды деятельности составили около 3,7% опрошенных.</w:t>
      </w:r>
    </w:p>
    <w:p w:rsidR="00860187" w:rsidRDefault="00860187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предпринимателей по видам осуществляемой деятельности</w:t>
      </w:r>
    </w:p>
    <w:p w:rsidR="00860187" w:rsidRDefault="0086018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46" w:type="dxa"/>
        <w:tblLayout w:type="fixed"/>
        <w:tblLook w:val="0000" w:firstRow="0" w:lastRow="0" w:firstColumn="0" w:lastColumn="0" w:noHBand="0" w:noVBand="0"/>
      </w:tblPr>
      <w:tblGrid>
        <w:gridCol w:w="8071"/>
        <w:gridCol w:w="1275"/>
      </w:tblGrid>
      <w:tr w:rsidR="00860187">
        <w:trPr>
          <w:trHeight w:val="315"/>
        </w:trPr>
        <w:tc>
          <w:tcPr>
            <w:tcW w:w="8070" w:type="dxa"/>
            <w:tcBorders>
              <w:top w:val="single" w:sz="8" w:space="0" w:color="2C2C2C"/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1275" w:type="dxa"/>
            <w:tcBorders>
              <w:top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top w:val="single" w:sz="4" w:space="0" w:color="000000"/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60187">
        <w:trPr>
          <w:trHeight w:val="583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60187">
        <w:trPr>
          <w:trHeight w:val="630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ритуальных услуг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187">
        <w:trPr>
          <w:trHeight w:val="630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0187">
        <w:trPr>
          <w:trHeight w:val="369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187">
        <w:trPr>
          <w:trHeight w:val="54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0187">
        <w:trPr>
          <w:trHeight w:val="629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187">
        <w:trPr>
          <w:trHeight w:val="965"/>
        </w:trPr>
        <w:tc>
          <w:tcPr>
            <w:tcW w:w="8070" w:type="dxa"/>
            <w:tcBorders>
              <w:top w:val="single" w:sz="4" w:space="0" w:color="000000"/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187">
        <w:trPr>
          <w:trHeight w:val="552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0187">
        <w:trPr>
          <w:trHeight w:val="688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0187">
        <w:trPr>
          <w:trHeight w:val="543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60187">
        <w:trPr>
          <w:trHeight w:val="396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Рынок оказания услуг по ремонту автотранспортных средств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60187">
        <w:trPr>
          <w:trHeight w:val="840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0187">
        <w:trPr>
          <w:trHeight w:val="830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0187">
        <w:trPr>
          <w:trHeight w:val="572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187">
        <w:trPr>
          <w:trHeight w:val="378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кадастровых и землеустроительных работ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60187">
        <w:trPr>
          <w:trHeight w:val="630"/>
        </w:trPr>
        <w:tc>
          <w:tcPr>
            <w:tcW w:w="8070" w:type="dxa"/>
            <w:tcBorders>
              <w:top w:val="single" w:sz="4" w:space="0" w:color="000000"/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вылова водных биоресурсов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переработки водных биоресурсов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top w:val="single" w:sz="4" w:space="0" w:color="000000"/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товарной аквакультуры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187">
        <w:trPr>
          <w:trHeight w:val="630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нефтепродуктов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0187">
        <w:trPr>
          <w:trHeight w:val="314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60187">
        <w:trPr>
          <w:trHeight w:val="37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наружной рекламы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санаторно-курортных и туристских услуг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минеральной воды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(Оптовая, розничная торговля, бытовое облуживание, общественное питание, ногтевой сервис)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860187">
        <w:trPr>
          <w:trHeight w:val="315"/>
        </w:trPr>
        <w:tc>
          <w:tcPr>
            <w:tcW w:w="8070" w:type="dxa"/>
            <w:tcBorders>
              <w:left w:val="single" w:sz="8" w:space="0" w:color="2C2C2C"/>
              <w:bottom w:val="single" w:sz="8" w:space="0" w:color="2C2C2C"/>
              <w:right w:val="single" w:sz="8" w:space="0" w:color="2C2C2C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1275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CCFFCC"/>
            <w:vAlign w:val="bottom"/>
          </w:tcPr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</w:tbl>
    <w:p w:rsidR="00860187" w:rsidRDefault="0086018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4575" cy="55245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60187" w:rsidRDefault="00860187">
      <w:pPr>
        <w:spacing w:before="0" w:after="0" w:line="240" w:lineRule="auto"/>
        <w:ind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0187" w:rsidRDefault="00FD7CC3">
      <w:pPr>
        <w:numPr>
          <w:ilvl w:val="0"/>
          <w:numId w:val="2"/>
        </w:numPr>
        <w:spacing w:before="0" w:after="0" w:line="24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оценки субъектами предпринимательской деятельности уровня конкуренции и примерного количества конкурентов в сравнении с прошлым годом.</w:t>
      </w:r>
    </w:p>
    <w:p w:rsidR="00860187" w:rsidRDefault="00860187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Предприниматели, участвовавшие в опросе, оценивают рынок как среду с высокой конкуренцией. Почти 50,4% процент – считают, что для сохранения рыночных позиций бизнеса необходимо регулярно применять меры по повышению конкурентоспособности товаров или услуг, использовать новые способы ее повышения, которые не применялись ранее. 49,6% части бизнес-сообщества, принимавшей участие в исследовании, определяют ситуацию как умеренную. При этом оценки конкурентной среды почти не поменялись за прошедший год.</w:t>
      </w:r>
    </w:p>
    <w:p w:rsidR="00860187" w:rsidRDefault="00860187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Оценка состояния конкуренции и конкурентной среды</w:t>
      </w:r>
    </w:p>
    <w:p w:rsidR="00860187" w:rsidRDefault="00FD7CC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хозяйствующими субъектами</w:t>
      </w:r>
    </w:p>
    <w:p w:rsidR="00860187" w:rsidRDefault="00860187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0200" cy="29908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60187" w:rsidRDefault="00860187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конкурентов бизнеса</w:t>
      </w:r>
    </w:p>
    <w:p w:rsidR="00860187" w:rsidRDefault="0086018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Важным фактором развития и поддержания бизнеса является наличие конкурентной среды. Рассматривая вопрос о количестве конкурентов, лишь 6,1 % опрошенных отметили, что у них нет конкурентов. От 1 до 3 конкурентов имеют 17,5% (2023 г. – 17,4%) опрошенных. О наличии 4-х и более конкурентов заявили 29,8% (2023 г. – 28,8%) респондентов. Большое количество конкурентов отметили 46,6%. 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87" w:rsidRDefault="00FD7CC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33975" cy="35242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рассматривать изменения количества конкурентов на основном рынке за последние 3 года, то можно отметить следующее:</w:t>
      </w:r>
    </w:p>
    <w:p w:rsidR="00860187" w:rsidRDefault="00860187">
      <w:pPr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43625" cy="3581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60187" w:rsidRDefault="0086018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сокращение конкуренции на 4 и более конкурентов отметили 3,8% опрошенных, на 1-3 конкурента – 4,6%. Более половины респондентов, принимавших участие в опросе и отметивших увеличение на 1-3 конкурента пришлось на 58,0 % респондентов, на 4 и более конкурентов пришлось 29,8% опрошенных 3,8 % не отметили изменений в количестве конкурентов за 3 года. Наибольшее количество конкурентов приходится на сферу розничной торговли и услуг.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положительной тенденцией является не только преобладание большого количества конкурентов на большинстве рынков муниципального округа, но и рост их числа в целом. Высокая конкуренция на рынках товаров, работ и услуг должна стимулировать бизнес принимать меры по повышению конкурентоспособности продукции, использовать инновационные подходы, обеспечивающие повышение его эффективности. Ведение бизнеса в условиях конкуренции предполагает постоянное применение новых, не используемых ранее, способов повышения конкурентоспособности продукции. Предприятия, представители которых считают уровень конкуренции высоким, вынуждены постоянно проводить усовершенствование своей продукции и тщательно отбирать поставщиков для сотрудничества.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респондентами оценивалась степень удовлетворенности состоянием конкуренции между поставщиками основного закупаемого товара (работы, услуги) и число таких поставщиков. Результаты опроса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показали, что бизнес оценивает состояние конкуренции между поставщиками основного закупаемого товара (работы, услуги) как скорее удовлетворительное и удовлетворительное (более 53,4% опрошенных).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87" w:rsidRDefault="00FD7CC3">
      <w:pPr>
        <w:spacing w:before="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00700" cy="34607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60187" w:rsidRDefault="00860187">
      <w:pPr>
        <w:spacing w:before="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sz w:val="28"/>
          <w:szCs w:val="28"/>
        </w:rPr>
        <w:t>В части оценивших удовлетворенность состоянием конкуренции между поставщиками основного закупаемого товара (работы, услуги), который приобретает представляемый ими бизнес для производства и реализации собственной продукции  большинство опрошенных имеют 2 и 3 поставщика (37,4%); 30,5% имеют 4 и более поставщика, 22,9% пользуются услугами большого количества поставщиков. О наличии единственного поставщика сообщили 9,2% респондентов. Таким образом, представители бизнеса, принявшие участие в опросе, в целом удовлетворительно рассматривают, как количество поставщиков, так и состояние конкуренции между ними.</w:t>
      </w:r>
    </w:p>
    <w:p w:rsidR="00860187" w:rsidRDefault="00860187">
      <w:pPr>
        <w:spacing w:before="0"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0187" w:rsidRDefault="00FD7CC3">
      <w:pPr>
        <w:numPr>
          <w:ilvl w:val="0"/>
          <w:numId w:val="2"/>
        </w:numPr>
        <w:spacing w:before="0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оценки административных барьеров при ведении предпринимательской деятельности в сравнении с прошлым годом по направлениям деятельности.</w:t>
      </w:r>
    </w:p>
    <w:p w:rsidR="00860187" w:rsidRDefault="00860187">
      <w:pPr>
        <w:spacing w:before="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Административные барьеры, которые являются наиболее существенными для ведения текущей деятельности или открытия нового бизнеса на рынке, основном для бизнеса, который представляют респонденты, приведены в таблице:</w:t>
      </w:r>
    </w:p>
    <w:p w:rsidR="00860187" w:rsidRDefault="0086018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60187" w:rsidRDefault="0086018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6"/>
        <w:gridCol w:w="1842"/>
        <w:gridCol w:w="2128"/>
      </w:tblGrid>
      <w:tr w:rsidR="00860187">
        <w:trPr>
          <w:trHeight w:val="500"/>
        </w:trPr>
        <w:tc>
          <w:tcPr>
            <w:tcW w:w="49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барьера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барьеров, ед.</w:t>
            </w:r>
          </w:p>
        </w:tc>
      </w:tr>
      <w:tr w:rsidR="00860187">
        <w:trPr>
          <w:trHeight w:val="438"/>
        </w:trPr>
        <w:tc>
          <w:tcPr>
            <w:tcW w:w="497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860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860187">
        <w:trPr>
          <w:trHeight w:val="330"/>
        </w:trPr>
        <w:tc>
          <w:tcPr>
            <w:tcW w:w="4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60187">
        <w:trPr>
          <w:trHeight w:val="645"/>
        </w:trPr>
        <w:tc>
          <w:tcPr>
            <w:tcW w:w="49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860187">
        <w:trPr>
          <w:trHeight w:val="960"/>
        </w:trPr>
        <w:tc>
          <w:tcPr>
            <w:tcW w:w="49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60187">
        <w:trPr>
          <w:trHeight w:val="330"/>
        </w:trPr>
        <w:tc>
          <w:tcPr>
            <w:tcW w:w="49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Сложность/ затянутость процедуры получения лицензий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860187">
        <w:trPr>
          <w:trHeight w:val="330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Высокие налоги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860187">
        <w:trPr>
          <w:trHeight w:val="645"/>
        </w:trPr>
        <w:tc>
          <w:tcPr>
            <w:tcW w:w="49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60187">
        <w:trPr>
          <w:trHeight w:val="645"/>
        </w:trPr>
        <w:tc>
          <w:tcPr>
            <w:tcW w:w="49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Ограничение/ сложность доступа к закупкам компаний с  госучастием и субъектов естественных монополий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60187">
        <w:trPr>
          <w:trHeight w:val="645"/>
        </w:trPr>
        <w:tc>
          <w:tcPr>
            <w:tcW w:w="49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Ограничение/ 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60187">
        <w:trPr>
          <w:trHeight w:val="1275"/>
        </w:trPr>
        <w:tc>
          <w:tcPr>
            <w:tcW w:w="49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60187">
        <w:trPr>
          <w:trHeight w:val="960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60187">
        <w:trPr>
          <w:trHeight w:val="645"/>
        </w:trPr>
        <w:tc>
          <w:tcPr>
            <w:tcW w:w="49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60187">
        <w:trPr>
          <w:trHeight w:val="330"/>
        </w:trPr>
        <w:tc>
          <w:tcPr>
            <w:tcW w:w="49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ограничений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860187">
        <w:trPr>
          <w:trHeight w:val="330"/>
        </w:trPr>
        <w:tc>
          <w:tcPr>
            <w:tcW w:w="49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111</w:t>
            </w:r>
          </w:p>
        </w:tc>
      </w:tr>
    </w:tbl>
    <w:p w:rsidR="00860187" w:rsidRDefault="00860187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барьеры являются фактором, оказывающим негативное воздействие на развитие конкуренции. Необоснованные административные барьеры снижают стимулы входа на рынки новых участников и создают условия для коррупции. Негативным эффектом от административных барьеров, помимо прочего, является уход бизнеса с рынка в теневую экономику в целях снижения издержек.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итоге это ведет к серьезным экономическим потерям общества, как прямым, выражающимся в росте цен, так и косвенным, связанным со снижением объемов производства из-за неэффективного использования ресурсов. Административные барьеры не только не решают тех проблем, в связи с которыми они создаются, но и затрудняют использование более эффективных методов госрегулирования.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Мониторинг наличия административных барьеров показал, что предприниматели, осуществляющие деятельность на территории  Петровского муниципального округа Ставропольского края в своей деятельности наиболее часто в качестве самого большого препятствия для ведения бизнеса отмечают высокие налоги (30,5%) и нестабильность российского законодательства, регулирующего предпринимательскую деятельность (26,7%); несколько реже – сложность/затянутость процедуры получения лицензий (10,0%) и сложность получения доступа к земельным участкам (9,9%).</w:t>
      </w:r>
      <w:r>
        <w:rPr>
          <w:rFonts w:ascii="Times New Roman" w:hAnsi="Times New Roman" w:cs="Times New Roman"/>
          <w:sz w:val="28"/>
          <w:szCs w:val="28"/>
        </w:rPr>
        <w:t xml:space="preserve"> Важно отметить, что на отсутствие ограничений в этом году указали 13,0% респондентов.</w:t>
      </w:r>
    </w:p>
    <w:p w:rsidR="00860187" w:rsidRDefault="00FD7CC3">
      <w:pPr>
        <w:spacing w:before="0"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 сравнению с 2023 годом доля высоких налогов снизилась на 4,6%,  нестабильность российского законодательства, регулирующего предпринимательскую деятельность, снизилась на 0,3% в сравнении с 2023 годом.</w:t>
      </w:r>
    </w:p>
    <w:p w:rsidR="00860187" w:rsidRDefault="00FD7CC3">
      <w:pPr>
        <w:spacing w:before="0"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Таким образом, административные барьеры оцениваются бизнес - сообществом как достаточно серьезные препятствия для ведения предпринимательской деятельности.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87" w:rsidRDefault="00FD7CC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Наиболее существенные административные барьеры для ведения текущей деятельности или открытия нового бизнеса на рынке, </w:t>
      </w:r>
    </w:p>
    <w:p w:rsidR="00860187" w:rsidRDefault="00FD7CC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к общему количеству ответов</w:t>
      </w:r>
    </w:p>
    <w:p w:rsidR="00860187" w:rsidRDefault="0086018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81675" cy="332422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касается оценки деятельности органов власти на рынке, основном для бизнеса, который они представляют, то по мнению 58,0% (76) респондентов «скорее удовлетворены» (в 2023 г. – 55,0% (61) респондентов), еще 41,2% (54) «удовлетворены» (в 2023 году – 44,1% (49) респондентов) и                   0,8 % «не удовлетворен».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Степень преодоления административных барьеров </w:t>
      </w:r>
    </w:p>
    <w:p w:rsidR="00860187" w:rsidRDefault="00FD7CC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ведения текущей деятельности и открытия нового бизнеса на рынке, % к опрошенным</w:t>
      </w:r>
    </w:p>
    <w:p w:rsidR="00860187" w:rsidRDefault="0086018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4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1FF2B5" wp14:editId="45AEE444">
            <wp:extent cx="5863590" cy="3166110"/>
            <wp:effectExtent l="0" t="0" r="0" b="0"/>
            <wp:docPr id="2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проведенного мониторинга наблюдается положительная динамика в преодолении административных барьеров для ведения текущей деятельности и открытии нового бизнеса. </w:t>
      </w:r>
    </w:p>
    <w:p w:rsidR="00860187" w:rsidRDefault="00FD7CC3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Барьеры, преодолимые при осуществлении значительных затрат, препятствуют осуществлению предпринимательской деятельности по мнению 3,8 (2023 г. – 3,6%) представителей бизнеса. На присутствие барьеров, преодолимых без существенных затрат, сослались 56,5% (2023 г. -58,6%). Об отсутствии каких-либо административных барьеров заявило 39,7% (2023 г. – 37,8%) респондентов. 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разделом исследования является оценка субъектами предпринимательской деятельности административных барьеров, присутствующих на рынках.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оценке изменения уровня административных барьеров мнения респондентов разделились следующим образом: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A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административные барьеры были полностью устранены –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(в 2023 г. - 25,2%);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A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бизнесу стало проще преодолевать административные барьеры, чем раньше - 74,8% (в 2023 г. – 73,0%);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A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уровень и количество административных барьеров не изменились – 1,5% (в 2023 г. – 0,9%);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бизнесу стало сложнее преодолевать административные барьеры, чем раньше – 0,8 %.</w:t>
      </w:r>
    </w:p>
    <w:p w:rsidR="00860187" w:rsidRDefault="0086018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административных барьеров на рынке, основном для бизнеса, который они представляют, % к опрошенным</w:t>
      </w:r>
    </w:p>
    <w:p w:rsidR="00860187" w:rsidRDefault="0086018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06390" cy="316611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60187" w:rsidRDefault="00860187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numPr>
          <w:ilvl w:val="0"/>
          <w:numId w:val="2"/>
        </w:numPr>
        <w:spacing w:before="0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информации о жалобах в контрольно-надзорные органы в динамике с прошлым годом по направлениям деятельности.</w:t>
      </w:r>
    </w:p>
    <w:p w:rsidR="00860187" w:rsidRDefault="00860187">
      <w:pPr>
        <w:spacing w:before="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анализа установлено, что в 2024 г. и 2023 г. от субъектов предпринимательской деятельности осуществляющих свою деятельность на территории Петровского муниципального округа Ставропольского края жалоб в контрольно-надзорные органы не поступало.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numPr>
          <w:ilvl w:val="0"/>
          <w:numId w:val="2"/>
        </w:numPr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Динамика оценки оказания услуг субъектов естественных монополий, сложности и сроков их получения в сравнении с прошлым годом.</w:t>
      </w:r>
    </w:p>
    <w:p w:rsidR="00860187" w:rsidRDefault="00860187">
      <w:pPr>
        <w:spacing w:before="0" w:after="0" w:line="240" w:lineRule="auto"/>
        <w:ind w:left="9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exact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оценки удовлетворенности услугами естественных монополий по следующим трем параметрам: сроки получения доступа, сложность (количество) процедур подключения, стоимость подключения можно выделить следующее.</w:t>
      </w:r>
    </w:p>
    <w:p w:rsidR="00860187" w:rsidRDefault="00860187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оценки респондентами характеристик услуг субъектов </w:t>
      </w:r>
    </w:p>
    <w:p w:rsidR="00860187" w:rsidRDefault="00FD7CC3">
      <w:pPr>
        <w:spacing w:before="0" w:after="0" w:line="240" w:lineRule="exact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естественных монополий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за 2024 год</w:t>
      </w:r>
    </w:p>
    <w:p w:rsidR="00860187" w:rsidRDefault="00860187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187" w:rsidRDefault="00FD7CC3">
      <w:pPr>
        <w:pStyle w:val="Default"/>
        <w:spacing w:line="160" w:lineRule="exact"/>
        <w:ind w:left="8222"/>
        <w:rPr>
          <w:bCs/>
          <w:color w:val="800000"/>
        </w:rPr>
      </w:pPr>
      <w:r>
        <w:rPr>
          <w:bCs/>
          <w:color w:val="auto"/>
        </w:rPr>
        <w:t>проценты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850"/>
        <w:gridCol w:w="851"/>
        <w:gridCol w:w="850"/>
        <w:gridCol w:w="709"/>
        <w:gridCol w:w="991"/>
        <w:gridCol w:w="851"/>
        <w:gridCol w:w="850"/>
        <w:gridCol w:w="710"/>
        <w:gridCol w:w="849"/>
      </w:tblGrid>
      <w:tr w:rsidR="00860187">
        <w:trPr>
          <w:trHeight w:val="431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рынка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 доступа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Сложность</w:t>
            </w:r>
          </w:p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(количество)</w:t>
            </w:r>
          </w:p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</w:p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подключения</w:t>
            </w:r>
          </w:p>
        </w:tc>
      </w:tr>
      <w:tr w:rsidR="00860187">
        <w:trPr>
          <w:trHeight w:val="2142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187" w:rsidRDefault="0086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Удовлетворительно/ низкая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Неудовлетворительно/ высокая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Затрудняюсь</w:t>
            </w:r>
          </w:p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ответить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Удовлетворительно/ низкая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Неудовлетворительно/ высокая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Затрудняюсь</w:t>
            </w:r>
          </w:p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ответить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Удовлетворительно/ низкая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Неудовлетворительно/ высокая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Затрудняюсь</w:t>
            </w:r>
          </w:p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ответить</w:t>
            </w:r>
          </w:p>
        </w:tc>
      </w:tr>
      <w:tr w:rsidR="00860187">
        <w:trPr>
          <w:trHeight w:val="604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860187">
        <w:trPr>
          <w:trHeight w:val="604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Водоочистка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60187">
        <w:trPr>
          <w:trHeight w:val="356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860187">
        <w:trPr>
          <w:trHeight w:val="406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860187">
        <w:trPr>
          <w:trHeight w:val="58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0187">
        <w:trPr>
          <w:trHeight w:val="56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связь, сеть "Интернет"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860187" w:rsidRDefault="00860187">
      <w:p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целом большинство опрошенных предпринимателей, которым пришлось обращаться к процедуре подключения к электросетям, сетям водоснабжения и водоотведения, тепловым сетям, телефонной сети и сети "Интернет" удовлетворены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качеством предоставления услуг </w:t>
      </w:r>
      <w:r>
        <w:rPr>
          <w:rFonts w:ascii="Times New Roman" w:eastAsia="Times New Roman" w:hAnsi="Times New Roman" w:cs="Times New Roman"/>
          <w:sz w:val="28"/>
          <w:szCs w:val="28"/>
        </w:rPr>
        <w:t>субъектов естественных монополий.</w:t>
      </w:r>
    </w:p>
    <w:p w:rsidR="00860187" w:rsidRDefault="00FD7CC3">
      <w:p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из определяющих критериев оценки удовлетворённости респондентов является стоимость подключения услуг. 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A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целом мнение представителей бизнеса о стоимости подключения услуг естественных монополий разделилось. Но среди услуг можно выделить услуги водоснабжения и водоотведения, стоимость подключения к которой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большинством респондентов (87,0%) как низкая. Высокой стоимость считают 91,6% предпринимателей.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сферу газоснабжения, 18,3% из числа опрошенных столкнувшихся в процессе ведения бизнеса с подключением газораспределительным сетям, отметили высокую стоимость, 25,2% - скорее высокую.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A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рынков естественных монополий наиболее высокая стоимость подключения к услугам, по мнению субъектов предпринимательской деятельности, в сфере электроснабжения: 43,5% считают стоимость услуг высокой. Остальные 48,9% сходятся во мнении о низкой стоимости услуг.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A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стоимости услуг подключения к теплоснабжению продемонстрировала, что 16,8% предпринимателей оценивают стоимость как высокую и 28,2% - как скорее высокую.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характеристикам в качестве наиболее доступных для подключения с минимальным количеством затрат названы услуги телефонной связи, более половины 77,9% считают стоимость услуг низкой. Высокой стоимостью считают 19,8 %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удовлетворенности субъектов предпринимательской деятельности на территории Петровского муниципального округа приведена в диаграмме.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8750" cy="393065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60187" w:rsidRDefault="0086018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оценки услуг субъектов естественных монополий в сравнении с 201 годом показал, что в целом удовлетворенность качеством услуг участников опроса имеет положительную динамику на всех рынках услуг субъектов естественных монополий и по всем характеристикам услуг.</w:t>
      </w:r>
    </w:p>
    <w:p w:rsidR="00860187" w:rsidRDefault="00860187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numPr>
          <w:ilvl w:val="0"/>
          <w:numId w:val="2"/>
        </w:numPr>
        <w:spacing w:before="0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удовлетворенности качеством официальной информации о состоянии конкурентной среды на товарных рынках, размещаемой в открытом доступе, в сравнении с прошлым годом.</w:t>
      </w:r>
    </w:p>
    <w:p w:rsidR="00860187" w:rsidRDefault="00860187">
      <w:pPr>
        <w:spacing w:before="0" w:after="0" w:line="240" w:lineRule="auto"/>
        <w:ind w:left="154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Одной из задач исследования являлось выявление уровня удовлетворённости представителей бизнес - сообщества качеством официальной информации о состоянии конкурентной среды на рынках товаров и услуг Петровского муниципального округа Ставропольского края, размещаемой в информационно-телекоммуникационной сети «Интернет».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 качеством информации понимается: доступность, понятность, удобство получения.</w:t>
      </w:r>
    </w:p>
    <w:p w:rsidR="00860187" w:rsidRDefault="00860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187" w:rsidRDefault="00FD7C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Удовлетворенность субъектов предпринимательской деятельности качеством официальной информации о состоянии конкурентной среды на товарных рынках, размещаемой в открытом доступе, в 2024 году</w:t>
      </w:r>
    </w:p>
    <w:p w:rsidR="00860187" w:rsidRDefault="00FD7CC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проценты</w:t>
      </w:r>
    </w:p>
    <w:tbl>
      <w:tblPr>
        <w:tblW w:w="936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7"/>
        <w:gridCol w:w="1417"/>
        <w:gridCol w:w="1418"/>
        <w:gridCol w:w="1275"/>
        <w:gridCol w:w="1221"/>
        <w:gridCol w:w="1332"/>
      </w:tblGrid>
      <w:tr w:rsidR="00860187">
        <w:trPr>
          <w:cantSplit/>
          <w:trHeight w:val="1056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87" w:rsidRDefault="0086018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 удовлетворительное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    неудовлетворительное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Затрудня-юсь ответить/ мне ничего не известно о такой информации</w:t>
            </w:r>
          </w:p>
        </w:tc>
      </w:tr>
      <w:tr w:rsidR="00860187">
        <w:trPr>
          <w:trHeight w:val="9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доступности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0187">
        <w:trPr>
          <w:trHeight w:val="9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понятности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0187">
        <w:trPr>
          <w:trHeight w:val="9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Удобство получения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187" w:rsidRDefault="00FD7C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востребованными каналами получения информации являются официальная информация органов местного самоуправления, размещаемая на официальном сайте в информационной телекоммуникационной сети «Интернет», а также специальные блоги, порталы и прочие электронные ресурсы.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Динамика опрошенных, оценивших качество официальной информации, размещаемой в открытом доступе, % к опрошенным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355282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качество размещаемой в открытом доступе официальной информации о состоянии конкурентной среды на рынках муниципального округа и деятельности по содействию развитию конкуренции на основе анализа ответов респондентов можно считать в большей степени удовлетворительным.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numPr>
          <w:ilvl w:val="0"/>
          <w:numId w:val="2"/>
        </w:numPr>
        <w:spacing w:before="0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удовлетворенности деятельностью в сфере финансовых услуг, а также доступности для субъектов предпринимательской деятельности финансовых услуг.</w:t>
      </w:r>
    </w:p>
    <w:p w:rsidR="00860187" w:rsidRDefault="00860187">
      <w:pPr>
        <w:spacing w:before="0" w:after="0" w:line="240" w:lineRule="auto"/>
        <w:ind w:left="154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доступность – важнейший показатель качества жизни населения, который влияет на развитие экономики и благополучия жителей Петровского муниципального  округа Ставропольского края. 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удовлетворенности субъектов предпринимательской</w:t>
      </w:r>
    </w:p>
    <w:p w:rsidR="00860187" w:rsidRDefault="00FD7CC3">
      <w:pPr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деятельностью финансовых организаций на территории </w:t>
      </w:r>
    </w:p>
    <w:p w:rsidR="00860187" w:rsidRDefault="00FD7CC3">
      <w:pPr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округа, а также различными финансовыми продуктами и услугами </w:t>
      </w:r>
    </w:p>
    <w:p w:rsidR="00860187" w:rsidRDefault="00FD7CC3">
      <w:pPr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2024 год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проценты</w:t>
      </w:r>
    </w:p>
    <w:tbl>
      <w:tblPr>
        <w:tblW w:w="98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87"/>
        <w:gridCol w:w="756"/>
        <w:gridCol w:w="756"/>
        <w:gridCol w:w="755"/>
        <w:gridCol w:w="756"/>
        <w:gridCol w:w="757"/>
        <w:gridCol w:w="708"/>
        <w:gridCol w:w="710"/>
        <w:gridCol w:w="761"/>
      </w:tblGrid>
      <w:tr w:rsidR="00860187">
        <w:trPr>
          <w:trHeight w:val="431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0187" w:rsidRDefault="00860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Стоимость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Доступность</w:t>
            </w:r>
          </w:p>
        </w:tc>
      </w:tr>
      <w:tr w:rsidR="00860187">
        <w:trPr>
          <w:trHeight w:val="1620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187" w:rsidRDefault="0086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Удовлетворен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удовлетворен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Удовлетворен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удовлетворен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Удовлетворен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удовлетворен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60187" w:rsidRDefault="00FD7C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Затрудняюсь ответить</w:t>
            </w:r>
          </w:p>
        </w:tc>
      </w:tr>
      <w:tr w:rsidR="00860187">
        <w:trPr>
          <w:trHeight w:val="437"/>
        </w:trPr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Банки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  <w:p w:rsidR="00860187" w:rsidRDefault="00860187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60187">
        <w:trPr>
          <w:trHeight w:val="667"/>
        </w:trPr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860187" w:rsidRDefault="00860187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860187">
        <w:trPr>
          <w:trHeight w:val="40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860187" w:rsidRDefault="00860187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187">
        <w:trPr>
          <w:trHeight w:val="40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Ломбарды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60187">
        <w:trPr>
          <w:trHeight w:val="40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860187" w:rsidRDefault="00860187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187">
        <w:trPr>
          <w:trHeight w:val="40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860187">
        <w:trPr>
          <w:trHeight w:val="40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860187" w:rsidRDefault="00860187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187">
        <w:trPr>
          <w:trHeight w:val="40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Брокеры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удовлетворенности стоимостью, качеством и доступностью предоставляемых услуг финансовыми организациями представлена в диаграмме.</w:t>
      </w:r>
    </w:p>
    <w:p w:rsidR="00860187" w:rsidRDefault="00FD7CC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05500" cy="25527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Отвечая на вопрос: «Какие из перечисленных барьеров, являются наиболее существенными при доступе к финансовым услугам» респонденты указали, что основными барьерами при доступе к финансовым услугам являются: слишком низкая процентная ставка для продуктов с процентным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доходом 40,4% (53) респондентов (в 2023 г. - 37,8% (42), отсутствие необходимости в заемных средствах 23,7% (31) (в 2023 г. - 30,6% (34) респондентов и негативное отношение к кредитам (займам) 32,1% (42) (в 2023 г. – 28,8% (32), 3,8% (5) респондента (в 2023 г. - 2,9% (3) не обладают навыками использования онлайн-сервисов.</w:t>
      </w:r>
    </w:p>
    <w:p w:rsidR="00860187" w:rsidRDefault="008601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187" w:rsidRDefault="00FD7CC3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Удовлетворенность опрошенных субъектов предпринимательской деятельности состоянием и развитием конкурентной среды</w:t>
      </w:r>
    </w:p>
    <w:p w:rsidR="00860187" w:rsidRDefault="008601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1"/>
        <w:tblW w:w="9571" w:type="dxa"/>
        <w:tblLayout w:type="fixed"/>
        <w:tblLook w:val="04A0" w:firstRow="1" w:lastRow="0" w:firstColumn="1" w:lastColumn="0" w:noHBand="0" w:noVBand="1"/>
      </w:tblPr>
      <w:tblGrid>
        <w:gridCol w:w="4765"/>
        <w:gridCol w:w="4806"/>
      </w:tblGrid>
      <w:tr w:rsidR="00860187">
        <w:tc>
          <w:tcPr>
            <w:tcW w:w="4765" w:type="dxa"/>
          </w:tcPr>
          <w:p w:rsidR="00860187" w:rsidRDefault="00FD7C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барьера</w:t>
            </w:r>
          </w:p>
          <w:p w:rsidR="00860187" w:rsidRDefault="0086018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860187" w:rsidRDefault="00FD7C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опрошенных субъектов предпринимательской деятельности</w:t>
            </w:r>
          </w:p>
        </w:tc>
      </w:tr>
      <w:tr w:rsidR="00860187">
        <w:tc>
          <w:tcPr>
            <w:tcW w:w="4765" w:type="dxa"/>
          </w:tcPr>
          <w:p w:rsidR="00860187" w:rsidRDefault="00FD7CC3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</w:t>
            </w:r>
          </w:p>
        </w:tc>
        <w:tc>
          <w:tcPr>
            <w:tcW w:w="4805" w:type="dxa"/>
            <w:vAlign w:val="bottom"/>
          </w:tcPr>
          <w:p w:rsidR="00860187" w:rsidRDefault="00FD7C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860187">
        <w:tc>
          <w:tcPr>
            <w:tcW w:w="4765" w:type="dxa"/>
          </w:tcPr>
          <w:p w:rsidR="00860187" w:rsidRDefault="00FD7CC3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Скорее удовлетворен</w:t>
            </w:r>
          </w:p>
        </w:tc>
        <w:tc>
          <w:tcPr>
            <w:tcW w:w="4805" w:type="dxa"/>
            <w:vAlign w:val="bottom"/>
          </w:tcPr>
          <w:p w:rsidR="00860187" w:rsidRDefault="00FD7C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</w:tr>
      <w:tr w:rsidR="00860187">
        <w:tc>
          <w:tcPr>
            <w:tcW w:w="4765" w:type="dxa"/>
          </w:tcPr>
          <w:p w:rsidR="00860187" w:rsidRDefault="00FD7CC3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Скорее неудовлетворен</w:t>
            </w:r>
          </w:p>
        </w:tc>
        <w:tc>
          <w:tcPr>
            <w:tcW w:w="4805" w:type="dxa"/>
            <w:vAlign w:val="bottom"/>
          </w:tcPr>
          <w:p w:rsidR="00860187" w:rsidRDefault="00FD7C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60187">
        <w:tc>
          <w:tcPr>
            <w:tcW w:w="4765" w:type="dxa"/>
          </w:tcPr>
          <w:p w:rsidR="00860187" w:rsidRDefault="00FD7CC3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Неудовлетворен</w:t>
            </w:r>
          </w:p>
        </w:tc>
        <w:tc>
          <w:tcPr>
            <w:tcW w:w="4805" w:type="dxa"/>
            <w:vAlign w:val="bottom"/>
          </w:tcPr>
          <w:p w:rsidR="00860187" w:rsidRDefault="00FD7C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60187">
        <w:tc>
          <w:tcPr>
            <w:tcW w:w="4765" w:type="dxa"/>
          </w:tcPr>
          <w:p w:rsidR="00860187" w:rsidRDefault="00FD7CC3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Затрудняюсь ответить</w:t>
            </w:r>
          </w:p>
        </w:tc>
        <w:tc>
          <w:tcPr>
            <w:tcW w:w="4805" w:type="dxa"/>
            <w:vAlign w:val="bottom"/>
          </w:tcPr>
          <w:p w:rsidR="00860187" w:rsidRDefault="00FD7C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860187" w:rsidRDefault="008601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187" w:rsidRDefault="00FD7CC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удовлетворенности состоянием и развитием конкурентной среды в Петровском муниципальном округе Ставропольского края оценен участниками исследования достаточно высоко – 90,8%. По сравнению с 2023 годом данный показатель снизился на 1,1 процентных пунктов.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numPr>
          <w:ilvl w:val="0"/>
          <w:numId w:val="3"/>
        </w:numPr>
        <w:spacing w:before="0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итогов опросов населения в отношении доступности финансовых услуг.</w:t>
      </w:r>
    </w:p>
    <w:p w:rsidR="00860187" w:rsidRDefault="00860187">
      <w:pPr>
        <w:spacing w:before="0" w:after="0"/>
        <w:jc w:val="center"/>
        <w:rPr>
          <w:rFonts w:ascii="Times New Roman" w:eastAsia="Tahoma" w:hAnsi="Times New Roman" w:cs="Times New Roman"/>
          <w:sz w:val="28"/>
          <w:szCs w:val="28"/>
        </w:rPr>
      </w:pPr>
    </w:p>
    <w:p w:rsidR="00860187" w:rsidRDefault="00FD7CC3">
      <w:pPr>
        <w:numPr>
          <w:ilvl w:val="0"/>
          <w:numId w:val="4"/>
        </w:numPr>
        <w:spacing w:before="0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материального положения населения Петровского городского округа Ставропольского края</w:t>
      </w:r>
    </w:p>
    <w:p w:rsidR="00860187" w:rsidRDefault="00860187">
      <w:pPr>
        <w:spacing w:before="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pStyle w:val="14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 очередной раз был проведен опрос населения о доступности финансовых услуг на территории Петровского муниципального района Ставропольского края. </w:t>
      </w:r>
    </w:p>
    <w:p w:rsidR="00860187" w:rsidRDefault="00FD7CC3">
      <w:pPr>
        <w:pStyle w:val="14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В анкетировании приняли участие 414 жителя округа, в том числе субъекты предпринимательской деятельности, анкетирование можно было пройти в электронном виде.</w:t>
      </w:r>
    </w:p>
    <w:p w:rsidR="00860187" w:rsidRDefault="00FD7CC3">
      <w:pPr>
        <w:pStyle w:val="14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В анкетировании приняли участие жители округа различного материального положения, социального статуса, из них: 46,6% мужчин                  (193 чел.) и 53,4% женщин (221 чел.).</w:t>
      </w:r>
    </w:p>
    <w:p w:rsidR="00860187" w:rsidRDefault="00FD7CC3">
      <w:pPr>
        <w:pStyle w:val="1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опросе принимали участие самозанятые граждане, предприниматели, студенты 35,7%, пенсионеры и домохозяйки соответственно 1,7% и 1,4%.</w:t>
      </w:r>
    </w:p>
    <w:p w:rsidR="00860187" w:rsidRDefault="00FD7CC3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второй описал материальное положение своей семьи как среднее: достаточно средств на еду и одежду, но для покупки дорогостоящей техники необходимо брать кредит.</w:t>
      </w:r>
    </w:p>
    <w:p w:rsidR="00860187" w:rsidRDefault="00FD7CC3">
      <w:pPr>
        <w:pStyle w:val="14"/>
        <w:ind w:left="0" w:firstLine="644"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 xml:space="preserve">Ни один респондент не ответил, что у него отсутствуют материальные проблемы. 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состояния материального положения среди населения, принявшего участие в опросе, показал, что финансовое состояние 45,9% респондентов позволяет им приобрести необходимую одежду и еду, но при покупке бытовой техники испытывают сложности.</w:t>
      </w: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Респонденты, принявшие участие в анкетировании, отвечали на вопрос о материальном положении своей семьи.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860187" w:rsidRDefault="00FD7CC3">
      <w:pPr>
        <w:spacing w:before="0" w:after="0" w:line="240" w:lineRule="auto"/>
        <w:ind w:firstLine="709"/>
        <w:jc w:val="right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Таблица 1.</w:t>
      </w:r>
    </w:p>
    <w:tbl>
      <w:tblPr>
        <w:tblW w:w="936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22"/>
        <w:gridCol w:w="2038"/>
      </w:tblGrid>
      <w:tr w:rsidR="00860187"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7" w:rsidRDefault="00860187">
            <w:pPr>
              <w:widowControl w:val="0"/>
              <w:suppressLineNumbers/>
              <w:jc w:val="center"/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</w:pPr>
          </w:p>
          <w:p w:rsidR="00860187" w:rsidRDefault="00FD7CC3">
            <w:pPr>
              <w:widowControl w:val="0"/>
              <w:suppressLineNumbers/>
              <w:jc w:val="center"/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</w:pPr>
            <w:r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  <w:t>Варианты ответов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87" w:rsidRDefault="00FD7CC3">
            <w:pPr>
              <w:widowControl w:val="0"/>
              <w:suppressLineNumbers/>
              <w:jc w:val="center"/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</w:pPr>
            <w:r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  <w:t>Доля ответивших в общем числе респондентов, в процентах</w:t>
            </w:r>
          </w:p>
        </w:tc>
      </w:tr>
      <w:tr w:rsidR="00860187">
        <w:tc>
          <w:tcPr>
            <w:tcW w:w="7321" w:type="dxa"/>
            <w:tcBorders>
              <w:left w:val="single" w:sz="4" w:space="0" w:color="000000"/>
              <w:bottom w:val="single" w:sz="4" w:space="0" w:color="000000"/>
            </w:tcBorders>
          </w:tcPr>
          <w:p w:rsidR="00860187" w:rsidRDefault="00FD7CC3">
            <w:pPr>
              <w:widowControl w:val="0"/>
              <w:suppressLineNumbers/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</w:pPr>
            <w:r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  <w:t>Нам не всегда хватает денег даже на еду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suppressLineNumbers/>
              <w:jc w:val="center"/>
              <w:rPr>
                <w:rFonts w:ascii="Liberation Serif" w:eastAsia="Tahoma" w:hAnsi="Liberation Serif" w:cs="Tahoma"/>
                <w:sz w:val="24"/>
                <w:szCs w:val="24"/>
              </w:rPr>
            </w:pPr>
            <w:r>
              <w:rPr>
                <w:rFonts w:ascii="Liberation Serif" w:eastAsia="Tahoma" w:hAnsi="Liberation Serif" w:cs="Tahoma"/>
                <w:sz w:val="24"/>
                <w:szCs w:val="24"/>
              </w:rPr>
              <w:t>4,4</w:t>
            </w:r>
          </w:p>
        </w:tc>
      </w:tr>
      <w:tr w:rsidR="00860187">
        <w:tc>
          <w:tcPr>
            <w:tcW w:w="7321" w:type="dxa"/>
            <w:tcBorders>
              <w:left w:val="single" w:sz="4" w:space="0" w:color="000000"/>
              <w:bottom w:val="single" w:sz="4" w:space="0" w:color="000000"/>
            </w:tcBorders>
          </w:tcPr>
          <w:p w:rsidR="00860187" w:rsidRDefault="00FD7CC3">
            <w:pPr>
              <w:widowControl w:val="0"/>
              <w:suppressLineNumbers/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</w:pPr>
            <w:r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  <w:t>У нас достаточно денег на еду, но купить одежду для нас-серьезная проблема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87" w:rsidRDefault="00FD7CC3">
            <w:pPr>
              <w:widowControl w:val="0"/>
              <w:suppressLineNumbers/>
              <w:jc w:val="center"/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</w:pPr>
            <w:r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  <w:t>11,8</w:t>
            </w:r>
          </w:p>
        </w:tc>
      </w:tr>
      <w:tr w:rsidR="00860187">
        <w:tc>
          <w:tcPr>
            <w:tcW w:w="7321" w:type="dxa"/>
            <w:tcBorders>
              <w:left w:val="single" w:sz="4" w:space="0" w:color="000000"/>
              <w:bottom w:val="single" w:sz="4" w:space="0" w:color="000000"/>
            </w:tcBorders>
          </w:tcPr>
          <w:p w:rsidR="00860187" w:rsidRDefault="00FD7CC3">
            <w:pPr>
              <w:widowControl w:val="0"/>
              <w:suppressLineNumbers/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</w:pPr>
            <w:r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  <w:t>Нам хватает на еду и одежду, но для покупки бытовой техники необходимо копить или брать кредит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87" w:rsidRDefault="00FD7CC3">
            <w:pPr>
              <w:widowControl w:val="0"/>
              <w:suppressLineNumbers/>
              <w:jc w:val="center"/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</w:pPr>
            <w:r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  <w:t>45,9</w:t>
            </w:r>
          </w:p>
        </w:tc>
      </w:tr>
      <w:tr w:rsidR="00860187">
        <w:tc>
          <w:tcPr>
            <w:tcW w:w="7321" w:type="dxa"/>
            <w:tcBorders>
              <w:left w:val="single" w:sz="4" w:space="0" w:color="000000"/>
              <w:bottom w:val="single" w:sz="4" w:space="0" w:color="000000"/>
            </w:tcBorders>
          </w:tcPr>
          <w:p w:rsidR="00860187" w:rsidRDefault="00FD7CC3">
            <w:pPr>
              <w:widowControl w:val="0"/>
              <w:suppressLineNumbers/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</w:pPr>
            <w:r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  <w:t>Могут купить бытовую технику, но не могу позволить себе автомобиль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87" w:rsidRDefault="00FD7CC3">
            <w:pPr>
              <w:widowControl w:val="0"/>
              <w:suppressLineNumbers/>
              <w:jc w:val="center"/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</w:pPr>
            <w:r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  <w:t>27,3</w:t>
            </w:r>
          </w:p>
        </w:tc>
      </w:tr>
      <w:tr w:rsidR="00860187">
        <w:tc>
          <w:tcPr>
            <w:tcW w:w="7321" w:type="dxa"/>
            <w:tcBorders>
              <w:left w:val="single" w:sz="4" w:space="0" w:color="000000"/>
              <w:bottom w:val="single" w:sz="4" w:space="0" w:color="000000"/>
            </w:tcBorders>
          </w:tcPr>
          <w:p w:rsidR="00860187" w:rsidRDefault="00FD7CC3">
            <w:pPr>
              <w:widowControl w:val="0"/>
              <w:suppressLineNumbers/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</w:pPr>
            <w:r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  <w:t>Могут купить бытовую технику, но не могут позволить себе купить квартиру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87" w:rsidRDefault="00FD7CC3">
            <w:pPr>
              <w:widowControl w:val="0"/>
              <w:suppressLineNumbers/>
              <w:jc w:val="center"/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</w:pPr>
            <w:r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  <w:t>7,0</w:t>
            </w:r>
          </w:p>
        </w:tc>
      </w:tr>
      <w:tr w:rsidR="00860187">
        <w:tc>
          <w:tcPr>
            <w:tcW w:w="7321" w:type="dxa"/>
            <w:tcBorders>
              <w:left w:val="single" w:sz="4" w:space="0" w:color="000000"/>
              <w:bottom w:val="single" w:sz="4" w:space="0" w:color="000000"/>
            </w:tcBorders>
          </w:tcPr>
          <w:p w:rsidR="00860187" w:rsidRDefault="00FD7CC3">
            <w:pPr>
              <w:widowControl w:val="0"/>
              <w:suppressLineNumbers/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</w:pPr>
            <w:r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87" w:rsidRDefault="00FD7CC3">
            <w:pPr>
              <w:widowControl w:val="0"/>
              <w:suppressLineNumbers/>
              <w:jc w:val="center"/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</w:pPr>
            <w:r>
              <w:rPr>
                <w:rFonts w:ascii="Liberation Serif" w:eastAsia="Tahoma" w:hAnsi="Liberation Serif" w:cs="Tahoma"/>
                <w:color w:val="000000"/>
                <w:sz w:val="24"/>
                <w:szCs w:val="24"/>
              </w:rPr>
              <w:t>3,6</w:t>
            </w:r>
          </w:p>
        </w:tc>
      </w:tr>
    </w:tbl>
    <w:p w:rsidR="00860187" w:rsidRDefault="00860187">
      <w:pPr>
        <w:jc w:val="center"/>
        <w:rPr>
          <w:rFonts w:ascii="Times New Roman" w:eastAsia="Tahoma" w:hAnsi="Times New Roman" w:cs="Times New Roman"/>
        </w:rPr>
      </w:pPr>
    </w:p>
    <w:p w:rsidR="00860187" w:rsidRDefault="00860187">
      <w:pPr>
        <w:jc w:val="center"/>
        <w:rPr>
          <w:rFonts w:ascii="Times New Roman" w:eastAsia="Tahoma" w:hAnsi="Times New Roman" w:cs="Times New Roman"/>
        </w:rPr>
      </w:pPr>
    </w:p>
    <w:p w:rsidR="00860187" w:rsidRDefault="00860187">
      <w:pPr>
        <w:jc w:val="center"/>
        <w:rPr>
          <w:rFonts w:ascii="Times New Roman" w:eastAsia="Tahoma" w:hAnsi="Times New Roman" w:cs="Times New Roman"/>
        </w:rPr>
      </w:pPr>
    </w:p>
    <w:p w:rsidR="00860187" w:rsidRDefault="00860187">
      <w:pPr>
        <w:jc w:val="center"/>
        <w:rPr>
          <w:rFonts w:ascii="Times New Roman" w:eastAsia="Tahoma" w:hAnsi="Times New Roman" w:cs="Times New Roman"/>
        </w:rPr>
      </w:pPr>
    </w:p>
    <w:p w:rsidR="00860187" w:rsidRDefault="00FD7CC3">
      <w:pPr>
        <w:pStyle w:val="afa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Мониторинг востребованности финансовых услуг за последние </w:t>
      </w:r>
    </w:p>
    <w:p w:rsidR="00860187" w:rsidRDefault="00FD7CC3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месяцев.</w:t>
      </w:r>
    </w:p>
    <w:p w:rsidR="00860187" w:rsidRDefault="00860187">
      <w:pPr>
        <w:pStyle w:val="afa"/>
        <w:rPr>
          <w:b/>
          <w:sz w:val="28"/>
          <w:szCs w:val="28"/>
        </w:rPr>
      </w:pPr>
    </w:p>
    <w:p w:rsidR="00860187" w:rsidRDefault="00FD7CC3">
      <w:p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исследования удовлетворенности деятельностью финансовых услуг организаций в анкетах потребителей услуг были определены самые востребованные финансовые организации, оказывающие услуги на территории Петровского муниципального района.</w:t>
      </w:r>
    </w:p>
    <w:p w:rsidR="00860187" w:rsidRDefault="00860187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87" w:rsidRDefault="00FD7CC3">
      <w:pPr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востребованности финансовых продуктов (услуг) за последние 12 месяцев, </w:t>
      </w:r>
    </w:p>
    <w:p w:rsidR="00860187" w:rsidRDefault="00FD7CC3">
      <w:pPr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% к опрошенным</w:t>
      </w:r>
    </w:p>
    <w:p w:rsidR="00860187" w:rsidRDefault="00860187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187" w:rsidRDefault="00FD7CC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оценке респондентов на территории округа опрошенные  потребители услуг не пользовались ни одним из финансовых продуктов (услуг) в течении последних 12 месяцев и по причинам: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91440</wp:posOffset>
                </wp:positionV>
                <wp:extent cx="6231890" cy="3606165"/>
                <wp:effectExtent l="0" t="0" r="0" b="0"/>
                <wp:wrapSquare wrapText="bothSides"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890" cy="360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A10912" w:rsidRDefault="00A10912">
                            <w:pPr>
                              <w:pStyle w:val="aff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226810" cy="3222625"/>
                                  <wp:effectExtent l="0" t="0" r="0" b="0"/>
                                  <wp:docPr id="23" name="Диаграмма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" tIns="2540" rIns="2540" bIns="25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23.5pt;margin-top:7.2pt;width:490.7pt;height:283.9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" o:allowincell="f" stroked="f">
                <v:textbox inset=".2pt,.2pt,.2pt,.2pt">
                  <w:txbxContent>
                    <w:p w:rsidR="00A10912" w:rsidRDefault="00A10912">
                      <w:pPr>
                        <w:pStyle w:val="aff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226810" cy="3222625"/>
                            <wp:effectExtent l="0" t="0" r="0" b="0"/>
                            <wp:docPr id="23" name="Диаграмма 23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0187" w:rsidRDefault="00FD7CC3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-большой удаленности финансовых организаций (1%)</w:t>
      </w:r>
    </w:p>
    <w:p w:rsidR="00860187" w:rsidRDefault="00FD7CC3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-низкая ставка (5,1%)</w:t>
      </w:r>
    </w:p>
    <w:p w:rsidR="00860187" w:rsidRDefault="00FD7CC3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-не доверие к финансовым организациям (15,5%)</w:t>
      </w:r>
    </w:p>
    <w:p w:rsidR="00860187" w:rsidRDefault="00FD7CC3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-отсутствия свободных денежных средств (33,3%)</w:t>
      </w:r>
    </w:p>
    <w:p w:rsidR="00860187" w:rsidRDefault="00FD7CC3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-использования иных способов размещения накоплений (38,7%)</w:t>
      </w:r>
    </w:p>
    <w:p w:rsidR="00860187" w:rsidRDefault="00860187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87" w:rsidRDefault="00860187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87" w:rsidRDefault="00860187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87" w:rsidRDefault="00860187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87" w:rsidRDefault="00860187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87" w:rsidRDefault="00860187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87" w:rsidRDefault="00860187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87" w:rsidRDefault="00FD7CC3">
      <w:pPr>
        <w:spacing w:before="0" w:after="0" w:line="240" w:lineRule="auto"/>
        <w:ind w:hanging="142"/>
        <w:jc w:val="center"/>
        <w:rPr>
          <w:rFonts w:ascii="Times New Roman" w:eastAsia="Tahoma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</w:rPr>
        <w:lastRenderedPageBreak/>
        <w:t xml:space="preserve">Анализ использования населением услуг кредитования за последние </w:t>
      </w:r>
    </w:p>
    <w:p w:rsidR="00860187" w:rsidRDefault="00FD7CC3">
      <w:pPr>
        <w:spacing w:before="0" w:after="0" w:line="240" w:lineRule="auto"/>
        <w:ind w:hanging="142"/>
        <w:jc w:val="center"/>
        <w:rPr>
          <w:rFonts w:ascii="Calibri" w:eastAsia="Tahoma" w:hAnsi="Calibri" w:cs="Tahoma"/>
          <w:b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</w:rPr>
        <w:t>12 месяцев, % к опрошенным приведен в таблице 2.</w:t>
      </w:r>
    </w:p>
    <w:p w:rsidR="00860187" w:rsidRDefault="00FD7CC3">
      <w:pPr>
        <w:ind w:firstLine="708"/>
        <w:jc w:val="right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Таблица 2</w:t>
      </w:r>
    </w:p>
    <w:tbl>
      <w:tblPr>
        <w:tblW w:w="978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655"/>
        <w:gridCol w:w="992"/>
        <w:gridCol w:w="1134"/>
        <w:gridCol w:w="1002"/>
      </w:tblGrid>
      <w:tr w:rsidR="00860187">
        <w:trPr>
          <w:cantSplit/>
          <w:trHeight w:val="1134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860187">
            <w:pPr>
              <w:widowControl w:val="0"/>
              <w:rPr>
                <w:rFonts w:ascii="Times New Roman" w:eastAsia="Tahoma" w:hAnsi="Times New Roman" w:cs="Times New Roman"/>
              </w:rPr>
            </w:pPr>
          </w:p>
          <w:p w:rsidR="00860187" w:rsidRDefault="00860187">
            <w:pPr>
              <w:widowControl w:val="0"/>
              <w:rPr>
                <w:rFonts w:ascii="Times New Roman" w:eastAsia="Tahoma" w:hAnsi="Times New Roman" w:cs="Times New Roman"/>
              </w:rPr>
            </w:pPr>
          </w:p>
          <w:p w:rsidR="00860187" w:rsidRDefault="00860187">
            <w:pPr>
              <w:widowControl w:val="0"/>
              <w:rPr>
                <w:rFonts w:ascii="Times New Roman" w:eastAsia="Tahoma" w:hAnsi="Times New Roman" w:cs="Times New Roman"/>
              </w:rPr>
            </w:pPr>
          </w:p>
          <w:p w:rsidR="00860187" w:rsidRDefault="00860187">
            <w:pPr>
              <w:widowControl w:val="0"/>
              <w:rPr>
                <w:rFonts w:ascii="Times New Roman" w:eastAsia="Tahoma" w:hAnsi="Times New Roman" w:cs="Times New Roman"/>
              </w:rPr>
            </w:pPr>
          </w:p>
          <w:p w:rsidR="00860187" w:rsidRDefault="00860187">
            <w:pPr>
              <w:widowControl w:val="0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860187" w:rsidRDefault="00FD7CC3">
            <w:pPr>
              <w:widowControl w:val="0"/>
              <w:ind w:left="113" w:right="113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Имеется сейчас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CAAC"/>
            <w:textDirection w:val="btLr"/>
            <w:vAlign w:val="center"/>
          </w:tcPr>
          <w:p w:rsidR="00860187" w:rsidRDefault="00FD7CC3">
            <w:pPr>
              <w:widowControl w:val="0"/>
              <w:ind w:left="113" w:right="113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Не имеется сейчас, но использовался за последние 12 месяцев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extDirection w:val="btLr"/>
            <w:vAlign w:val="center"/>
          </w:tcPr>
          <w:p w:rsidR="00860187" w:rsidRDefault="00FD7CC3">
            <w:pPr>
              <w:widowControl w:val="0"/>
              <w:ind w:left="113" w:right="113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Не использовался за</w:t>
            </w:r>
          </w:p>
          <w:p w:rsidR="00860187" w:rsidRDefault="00FD7CC3">
            <w:pPr>
              <w:widowControl w:val="0"/>
              <w:ind w:left="113" w:right="113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последние 12 месяцев</w:t>
            </w:r>
          </w:p>
        </w:tc>
      </w:tr>
      <w:tr w:rsidR="00860187">
        <w:trPr>
          <w:trHeight w:val="272"/>
        </w:trPr>
        <w:tc>
          <w:tcPr>
            <w:tcW w:w="66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Онлайн-кредит в банке (договор заключен с использованием информационно-телекоммуникационной сети «Интернет», сумма кредита предоставлена получателю услуги в безналичной форме)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19,5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66,0</w:t>
            </w:r>
          </w:p>
        </w:tc>
      </w:tr>
      <w:tr w:rsidR="00860187">
        <w:trPr>
          <w:trHeight w:val="272"/>
        </w:trPr>
        <w:tc>
          <w:tcPr>
            <w:tcW w:w="6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Иной кредит в банке, не являющийся онлайн-кредитом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34,0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0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56,0</w:t>
            </w:r>
          </w:p>
        </w:tc>
      </w:tr>
      <w:tr w:rsidR="00860187">
        <w:trPr>
          <w:trHeight w:val="272"/>
        </w:trPr>
        <w:tc>
          <w:tcPr>
            <w:tcW w:w="6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Использование кредитного лимита по кредитной карте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9,4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4,9</w:t>
            </w:r>
          </w:p>
        </w:tc>
        <w:tc>
          <w:tcPr>
            <w:tcW w:w="10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85,7</w:t>
            </w:r>
          </w:p>
        </w:tc>
      </w:tr>
      <w:tr w:rsidR="00860187">
        <w:trPr>
          <w:trHeight w:val="272"/>
        </w:trPr>
        <w:tc>
          <w:tcPr>
            <w:tcW w:w="6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Онлайн-заем в микрофинансовой организации (договор заключен с использованием информационно-телекоммуникационной сети «Интернет», сумма кредита предоставлена получателю услуги в безналичной форме)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1,2</w:t>
            </w:r>
          </w:p>
        </w:tc>
        <w:tc>
          <w:tcPr>
            <w:tcW w:w="10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98,3</w:t>
            </w:r>
          </w:p>
        </w:tc>
      </w:tr>
      <w:tr w:rsidR="00860187">
        <w:trPr>
          <w:trHeight w:val="272"/>
        </w:trPr>
        <w:tc>
          <w:tcPr>
            <w:tcW w:w="6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Иной заем в микрофинансовой организации, не являющийся онлайн-займом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3,1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1,7</w:t>
            </w:r>
          </w:p>
        </w:tc>
        <w:tc>
          <w:tcPr>
            <w:tcW w:w="10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95,2</w:t>
            </w:r>
          </w:p>
        </w:tc>
      </w:tr>
      <w:tr w:rsidR="00860187">
        <w:trPr>
          <w:trHeight w:val="272"/>
        </w:trPr>
        <w:tc>
          <w:tcPr>
            <w:tcW w:w="6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Онлайн-заем в кредитном потребительском кооперативе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860187">
        <w:trPr>
          <w:trHeight w:val="272"/>
        </w:trPr>
        <w:tc>
          <w:tcPr>
            <w:tcW w:w="6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Иной заем в кредитном потребительском кооперативе, не являющийся онлайн-займом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10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95,4</w:t>
            </w:r>
          </w:p>
        </w:tc>
      </w:tr>
      <w:tr w:rsidR="00860187">
        <w:trPr>
          <w:trHeight w:val="272"/>
        </w:trPr>
        <w:tc>
          <w:tcPr>
            <w:tcW w:w="6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Онлайн-заем в сельскохозяйственном кредитном потребительском кооперативе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860187">
        <w:trPr>
          <w:trHeight w:val="272"/>
        </w:trPr>
        <w:tc>
          <w:tcPr>
            <w:tcW w:w="6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4,9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1,4</w:t>
            </w:r>
          </w:p>
        </w:tc>
        <w:tc>
          <w:tcPr>
            <w:tcW w:w="10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93,7</w:t>
            </w:r>
          </w:p>
        </w:tc>
      </w:tr>
      <w:tr w:rsidR="00860187">
        <w:trPr>
          <w:trHeight w:val="272"/>
        </w:trPr>
        <w:tc>
          <w:tcPr>
            <w:tcW w:w="6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Заем в ломбарде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:rsidR="00860187" w:rsidRDefault="00860187">
      <w:pPr>
        <w:rPr>
          <w:rFonts w:ascii="Times New Roman" w:eastAsia="Tahoma" w:hAnsi="Times New Roman" w:cs="Times New Roman"/>
          <w:b/>
          <w:bCs/>
          <w:sz w:val="22"/>
          <w:szCs w:val="22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услуг кредитования более 30,2% (125) опрошенных не воспользовались данными финансовыми продуктами в течении последних 12 месяцев. 5,6% (23) респондентов указали, что услугами кредитования (займа) уже пользуются члены их семьи, а так же у 5,3% (22) опрошенных нет необходимости в заемных средствах,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6% (25) отрицательно относятся к </w:t>
      </w:r>
      <w:r>
        <w:rPr>
          <w:rFonts w:ascii="Times New Roman" w:hAnsi="Times New Roman" w:cs="Times New Roman"/>
          <w:sz w:val="28"/>
          <w:szCs w:val="28"/>
        </w:rPr>
        <w:lastRenderedPageBreak/>
        <w:t>кредитам (займам),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1,4% (6) используют иные способы получения займов и 5,1% (21) ссылаются на высокие процентные ставки по кредитованию.</w:t>
      </w:r>
    </w:p>
    <w:p w:rsidR="00860187" w:rsidRDefault="00FD7CC3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Кроме этого, малая доля опрошенных 3,6% (15) не уверены в безопасности онлайн-сервисов финансовых организаций,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2,4% (10) </w:t>
      </w:r>
      <w:r>
        <w:rPr>
          <w:rFonts w:ascii="Times New Roman" w:hAnsi="Times New Roman" w:cs="Times New Roman"/>
          <w:sz w:val="28"/>
          <w:szCs w:val="28"/>
        </w:rPr>
        <w:t xml:space="preserve"> не доверяют им в достаточной степени, чтобы привлекать у них денежные средства и 0,8% указывают на отдаленность финансовых организаций.</w:t>
      </w:r>
    </w:p>
    <w:p w:rsidR="00860187" w:rsidRDefault="00860187">
      <w:pPr>
        <w:spacing w:before="0" w:after="0" w:line="240" w:lineRule="auto"/>
        <w:rPr>
          <w:rFonts w:ascii="Times New Roman" w:eastAsia="Tahoma" w:hAnsi="Times New Roman" w:cs="Times New Roman"/>
          <w:b/>
          <w:bCs/>
          <w:sz w:val="22"/>
          <w:szCs w:val="22"/>
        </w:rPr>
      </w:pPr>
    </w:p>
    <w:p w:rsidR="00860187" w:rsidRDefault="00FD7CC3">
      <w:pPr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Анализ использования населением банковских карт за последние 12 месяцев, </w:t>
      </w:r>
    </w:p>
    <w:p w:rsidR="00860187" w:rsidRDefault="00FD7CC3">
      <w:pPr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% к опрошенным</w:t>
      </w:r>
    </w:p>
    <w:p w:rsidR="00860187" w:rsidRDefault="00FD7CC3">
      <w:pPr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60187" w:rsidRDefault="0086018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187" w:rsidRDefault="00FD7CC3">
      <w:pPr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Самыми востребованными финансовыми продуктами среди населения являются расчетные банковские карты. Из общего числа пользователей зарплатных карт составляет 76,1%, дебетовых- 22,7%, расчетных- 8,5%. Так же популярностью среди респондентов пользуются кредитные продукты. Больше 34,1% указали на наличие кредитных карт. </w:t>
      </w:r>
    </w:p>
    <w:p w:rsidR="00860187" w:rsidRDefault="00FD7CC3">
      <w:pPr>
        <w:jc w:val="center"/>
        <w:rPr>
          <w:rFonts w:ascii="Times New Roman" w:eastAsia="Tahoma" w:hAnsi="Times New Roman" w:cs="Times New Roman"/>
          <w:b/>
          <w:bCs/>
          <w:sz w:val="22"/>
          <w:szCs w:val="22"/>
        </w:rPr>
      </w:pPr>
      <w:r>
        <w:rPr>
          <w:rFonts w:ascii="Times New Roman" w:eastAsia="Tahoma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568960</wp:posOffset>
            </wp:positionV>
            <wp:extent cx="6182360" cy="3219450"/>
            <wp:effectExtent l="0" t="0" r="0" b="0"/>
            <wp:wrapSquare wrapText="largest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Мониторинг использования населением дистанционного доступа к банковскому счету за последние 12 месяцев, % к опрошенным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ahoma" w:hAnsi="Times New Roman" w:cs="Tahoma"/>
          <w:color w:val="000000"/>
          <w:sz w:val="28"/>
          <w:szCs w:val="28"/>
        </w:rPr>
      </w:pP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ahoma" w:hAnsi="Times New Roman" w:cs="Tahoma"/>
          <w:color w:val="000000"/>
          <w:sz w:val="28"/>
          <w:szCs w:val="28"/>
        </w:rPr>
      </w:pPr>
    </w:p>
    <w:p w:rsidR="00860187" w:rsidRDefault="00FD7CC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анализа использования населением различных форм дистанционного доступа к банковскому счету было выявлено, что широкую популярность среди опрошенных (98%) получили мобильные приложения для мобильных устройств позволяющие получить удаленный доступ к банковскому счету.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ahoma" w:hAnsi="Times New Roman" w:cs="Tahoma"/>
          <w:color w:val="000000"/>
          <w:sz w:val="28"/>
          <w:szCs w:val="28"/>
        </w:rPr>
      </w:pPr>
    </w:p>
    <w:p w:rsidR="00860187" w:rsidRDefault="00FD7CC3">
      <w:pPr>
        <w:spacing w:before="0" w:after="0" w:line="240" w:lineRule="auto"/>
        <w:jc w:val="center"/>
        <w:rPr>
          <w:rFonts w:ascii="Calibri" w:eastAsia="Tahoma" w:hAnsi="Calibri" w:cs="Tahoma"/>
          <w:color w:val="000000"/>
        </w:rPr>
      </w:pPr>
      <w:r>
        <w:rPr>
          <w:rFonts w:ascii="Times New Roman" w:eastAsia="Tahoma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548640</wp:posOffset>
            </wp:positionV>
            <wp:extent cx="5753735" cy="3425825"/>
            <wp:effectExtent l="0" t="0" r="0" b="0"/>
            <wp:wrapSquare wrapText="largest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Мониторинг использования населением страховых продуктов за последние 12 месяцев, % к опрошенным</w:t>
      </w:r>
    </w:p>
    <w:p w:rsidR="00860187" w:rsidRDefault="00860187">
      <w:pPr>
        <w:ind w:firstLine="709"/>
        <w:jc w:val="both"/>
        <w:rPr>
          <w:rFonts w:ascii="Times New Roman" w:eastAsia="Tahoma" w:hAnsi="Times New Roman" w:cs="Tahoma"/>
          <w:color w:val="C9211E"/>
          <w:sz w:val="28"/>
          <w:szCs w:val="28"/>
        </w:rPr>
      </w:pPr>
    </w:p>
    <w:p w:rsidR="00860187" w:rsidRDefault="00FD7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рассматривать степень использования населения страховых продуктов, то можно сделать вывод: среди участников опроса наиболее популярными видами страхования является добровольное медицинское страхование (100%), которое часто предлагают работодатели в рамках социального пакета для работников, и добровольное страхование жизни (есть у 67,6%)  опрошенных. </w:t>
      </w:r>
    </w:p>
    <w:p w:rsidR="00860187" w:rsidRDefault="00860187">
      <w:pPr>
        <w:spacing w:before="0"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860187" w:rsidRDefault="00FD7CC3">
      <w:pPr>
        <w:numPr>
          <w:ilvl w:val="0"/>
          <w:numId w:val="4"/>
        </w:numPr>
        <w:spacing w:before="0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удовлетворенности деятельностью </w:t>
      </w:r>
    </w:p>
    <w:p w:rsidR="00860187" w:rsidRDefault="00FD7CC3">
      <w:pPr>
        <w:spacing w:before="0"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финансовых услуг</w:t>
      </w:r>
    </w:p>
    <w:p w:rsidR="00860187" w:rsidRDefault="00860187">
      <w:pPr>
        <w:spacing w:before="0"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исследования удовлетворенности деятельностью финансовых организаций в анкетах потребителей услуг были определены самые востребованные финансовые организации, оказывающие условия на территории Петровского муниципального района. Анализ удовлетворенности респондентов финансовых организаций приведен ниже.</w:t>
      </w:r>
    </w:p>
    <w:p w:rsidR="00860187" w:rsidRDefault="00860187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удовлетворенности респондентов работой/сервисом финансовых организаций приведен в таблице 3.</w:t>
      </w:r>
    </w:p>
    <w:p w:rsidR="00860187" w:rsidRDefault="00FD7CC3">
      <w:pPr>
        <w:spacing w:before="0"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860187" w:rsidRDefault="00860187">
      <w:pPr>
        <w:spacing w:before="0"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2615"/>
        <w:gridCol w:w="2363"/>
        <w:gridCol w:w="2122"/>
        <w:gridCol w:w="2553"/>
      </w:tblGrid>
      <w:tr w:rsidR="00860187">
        <w:trPr>
          <w:trHeight w:val="684"/>
        </w:trPr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860187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Не удовлетворен(-а)</w:t>
            </w:r>
          </w:p>
        </w:tc>
        <w:tc>
          <w:tcPr>
            <w:tcW w:w="2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Удовлетворен(-а)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Не сталкивался(-лась)</w:t>
            </w:r>
          </w:p>
        </w:tc>
      </w:tr>
      <w:tr w:rsidR="00860187">
        <w:trPr>
          <w:trHeight w:val="1105"/>
        </w:trPr>
        <w:tc>
          <w:tcPr>
            <w:tcW w:w="26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</w:pPr>
            <w:r>
              <w:rPr>
                <w:rFonts w:ascii="Times New Roman" w:hAnsi="Times New Roman" w:cs="Times New Roman"/>
              </w:rPr>
              <w:t>Банки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7,0%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93,0%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</w:tr>
      <w:tr w:rsidR="00860187">
        <w:trPr>
          <w:trHeight w:val="979"/>
        </w:trPr>
        <w:tc>
          <w:tcPr>
            <w:tcW w:w="2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</w:pPr>
            <w:r>
              <w:rPr>
                <w:rFonts w:ascii="Times New Roman" w:hAnsi="Times New Roman" w:cs="Times New Roman"/>
              </w:rPr>
              <w:t>Микрофинансовые организации</w:t>
            </w:r>
          </w:p>
        </w:tc>
        <w:tc>
          <w:tcPr>
            <w:tcW w:w="2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1,0%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8,0%</w:t>
            </w:r>
          </w:p>
        </w:tc>
        <w:tc>
          <w:tcPr>
            <w:tcW w:w="2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91,0%</w:t>
            </w:r>
          </w:p>
        </w:tc>
      </w:tr>
      <w:tr w:rsidR="00860187">
        <w:trPr>
          <w:trHeight w:val="1141"/>
        </w:trPr>
        <w:tc>
          <w:tcPr>
            <w:tcW w:w="2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</w:pPr>
            <w:r>
              <w:rPr>
                <w:rFonts w:ascii="Times New Roman" w:hAnsi="Times New Roman" w:cs="Times New Roman"/>
              </w:rPr>
              <w:t>Кредитные потребительские кооперативы</w:t>
            </w:r>
          </w:p>
        </w:tc>
        <w:tc>
          <w:tcPr>
            <w:tcW w:w="2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0,0%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7,0%</w:t>
            </w:r>
          </w:p>
        </w:tc>
        <w:tc>
          <w:tcPr>
            <w:tcW w:w="2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93,0%</w:t>
            </w:r>
          </w:p>
        </w:tc>
      </w:tr>
      <w:tr w:rsidR="00860187">
        <w:trPr>
          <w:trHeight w:val="736"/>
        </w:trPr>
        <w:tc>
          <w:tcPr>
            <w:tcW w:w="2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</w:pPr>
            <w:r>
              <w:rPr>
                <w:rFonts w:ascii="Times New Roman" w:hAnsi="Times New Roman" w:cs="Times New Roman"/>
              </w:rPr>
              <w:t>Ломбарды</w:t>
            </w:r>
          </w:p>
        </w:tc>
        <w:tc>
          <w:tcPr>
            <w:tcW w:w="2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0,0%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4,0%</w:t>
            </w:r>
          </w:p>
        </w:tc>
        <w:tc>
          <w:tcPr>
            <w:tcW w:w="2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96,0%</w:t>
            </w:r>
          </w:p>
        </w:tc>
      </w:tr>
      <w:tr w:rsidR="00860187">
        <w:trPr>
          <w:trHeight w:val="1380"/>
        </w:trPr>
        <w:tc>
          <w:tcPr>
            <w:tcW w:w="2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</w:pPr>
            <w:r>
              <w:rPr>
                <w:rFonts w:ascii="Times New Roman" w:hAnsi="Times New Roman" w:cs="Times New Roman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2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11,0%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46,0%</w:t>
            </w:r>
          </w:p>
        </w:tc>
        <w:tc>
          <w:tcPr>
            <w:tcW w:w="2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43,0%</w:t>
            </w:r>
          </w:p>
        </w:tc>
      </w:tr>
      <w:tr w:rsidR="00860187">
        <w:trPr>
          <w:trHeight w:val="1380"/>
        </w:trPr>
        <w:tc>
          <w:tcPr>
            <w:tcW w:w="2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Сельскохозяйственные кредитные потребительские кооперативы</w:t>
            </w:r>
          </w:p>
        </w:tc>
        <w:tc>
          <w:tcPr>
            <w:tcW w:w="2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10%</w:t>
            </w:r>
          </w:p>
        </w:tc>
        <w:tc>
          <w:tcPr>
            <w:tcW w:w="2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90%</w:t>
            </w:r>
          </w:p>
        </w:tc>
      </w:tr>
      <w:tr w:rsidR="00860187">
        <w:trPr>
          <w:trHeight w:val="937"/>
        </w:trPr>
        <w:tc>
          <w:tcPr>
            <w:tcW w:w="2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</w:pPr>
            <w:r>
              <w:rPr>
                <w:rFonts w:ascii="Times New Roman" w:hAnsi="Times New Roman" w:cs="Times New Roman"/>
              </w:rPr>
              <w:t>Негосударственные пенсионные фонды</w:t>
            </w:r>
          </w:p>
        </w:tc>
        <w:tc>
          <w:tcPr>
            <w:tcW w:w="2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45%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42%</w:t>
            </w:r>
          </w:p>
        </w:tc>
        <w:tc>
          <w:tcPr>
            <w:tcW w:w="2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13%</w:t>
            </w:r>
          </w:p>
        </w:tc>
      </w:tr>
      <w:tr w:rsidR="00860187">
        <w:trPr>
          <w:trHeight w:val="839"/>
        </w:trPr>
        <w:tc>
          <w:tcPr>
            <w:tcW w:w="2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</w:pPr>
            <w:r>
              <w:rPr>
                <w:rFonts w:ascii="Times New Roman" w:hAnsi="Times New Roman" w:cs="Times New Roman"/>
              </w:rPr>
              <w:t>Брокеры</w:t>
            </w:r>
          </w:p>
        </w:tc>
        <w:tc>
          <w:tcPr>
            <w:tcW w:w="23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  <w:tc>
          <w:tcPr>
            <w:tcW w:w="2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100,0%</w:t>
            </w:r>
          </w:p>
        </w:tc>
      </w:tr>
    </w:tbl>
    <w:p w:rsidR="00860187" w:rsidRDefault="00860187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87" w:rsidRDefault="00860187">
      <w:pPr>
        <w:spacing w:before="0"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87" w:rsidRDefault="00FD7CC3">
      <w:pPr>
        <w:spacing w:before="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Банки находятся в выгодном положении, так как являются самым популярным типом финансовых организаций. Из проведенного анализа следует, что больше всего респондентов удовлетворены работой (сервисом) банков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93,0%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К востребованным услугам можно отнести услуги в сфере страхования. С остальными финансовыми услугами потребители не сталкивались, поэтому оценить не смогли.</w:t>
      </w:r>
    </w:p>
    <w:p w:rsidR="00860187" w:rsidRDefault="00860187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удовлетворенности населения Петровского муниципального округа продуктами (услугами) финансовых организации при их оформлении, % к опрошенным</w:t>
      </w:r>
    </w:p>
    <w:p w:rsidR="00860187" w:rsidRDefault="00860187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451485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60187" w:rsidRDefault="00FD7CC3">
      <w:pPr>
        <w:spacing w:before="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Анализируя степень удовлетворенности населения Петровского муниципального округа продуктами (услугами) финансовых организаций при их оформлении, большая часть респондентов указала на удовлетворенность переводами/платежами (100%), расчетными (дебетовыми картами) 100%, услугами пенсионного страхования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услугами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негосударственного пенсионного страхования (67,4%),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банковскими вкладами (51,2%). Менее популярными среди опрошенных оказались продукты (услуги), предоставляемые микрофинансовыми организациями,  сельскохозяйственными и потребительскими кооперативами, займами в ломбардах.</w:t>
      </w:r>
    </w:p>
    <w:p w:rsidR="00860187" w:rsidRDefault="00860187">
      <w:pPr>
        <w:spacing w:before="0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860187">
      <w:pPr>
        <w:spacing w:before="0"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numPr>
          <w:ilvl w:val="0"/>
          <w:numId w:val="4"/>
        </w:numPr>
        <w:spacing w:before="0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доступности для населения финансовых услуг.</w:t>
      </w:r>
    </w:p>
    <w:p w:rsidR="00860187" w:rsidRDefault="00860187">
      <w:p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финансовой доступности, неразрывно связанные с вопросами финансовой грамотности и защиты прав потребителей, в округе в приоритете. Это одно из направлений финансового рынка. Без решения этих задач, ориентированных на потребителя на малый бизнес, по большому счету финансовая сфера не достигает своих целей.</w:t>
      </w:r>
    </w:p>
    <w:p w:rsidR="00860187" w:rsidRDefault="00FD7CC3">
      <w:p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финансовую доступность, не вооружая людей знаниями, нельзя и даже опасно, потому что, сталкиваясь с новыми финансовыми продуктами и услугами и не зная, как их правильно использовать, потребители могут поступить себе во вред.</w:t>
      </w:r>
    </w:p>
    <w:p w:rsidR="00860187" w:rsidRDefault="00FD7CC3">
      <w:p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объективных показателей позволяет сделать вывод, что у большей части респондентов, принявших участие в опросе, есть возможность получить доступ к финансовым услугам и регулярно пользуется услугами финансовых организаций.</w:t>
      </w:r>
    </w:p>
    <w:p w:rsidR="00860187" w:rsidRDefault="00860187">
      <w:p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7" w:rsidRDefault="00FD7CC3">
      <w:p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доступности для населения финансовых услуг приведены в таблице 4.</w:t>
      </w:r>
    </w:p>
    <w:p w:rsidR="00860187" w:rsidRDefault="00FD7CC3">
      <w:pPr>
        <w:spacing w:before="0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W w:w="965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531"/>
        <w:gridCol w:w="2552"/>
        <w:gridCol w:w="1705"/>
        <w:gridCol w:w="1863"/>
      </w:tblGrid>
      <w:tr w:rsidR="00860187">
        <w:trPr>
          <w:trHeight w:val="1215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860187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удовлетворен</w:t>
            </w:r>
          </w:p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(а)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Удовлетворен</w:t>
            </w:r>
          </w:p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(-а)</w:t>
            </w:r>
          </w:p>
        </w:tc>
        <w:tc>
          <w:tcPr>
            <w:tcW w:w="18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60187" w:rsidRDefault="00FD7CC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сталкивался</w:t>
            </w:r>
          </w:p>
          <w:p w:rsidR="00860187" w:rsidRDefault="00FD7CC3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(-лась)</w:t>
            </w:r>
          </w:p>
        </w:tc>
      </w:tr>
      <w:tr w:rsidR="00860187">
        <w:trPr>
          <w:trHeight w:val="451"/>
        </w:trPr>
        <w:tc>
          <w:tcPr>
            <w:tcW w:w="3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Количеством и удобством расположения банковских отделений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9,4%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90,6%</w:t>
            </w:r>
          </w:p>
        </w:tc>
        <w:tc>
          <w:tcPr>
            <w:tcW w:w="1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</w:tr>
      <w:tr w:rsidR="00860187">
        <w:trPr>
          <w:trHeight w:val="501"/>
        </w:trPr>
        <w:tc>
          <w:tcPr>
            <w:tcW w:w="35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Качеством дистанционного банковского обслуживания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100,0%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</w:tr>
      <w:tr w:rsidR="00860187">
        <w:trPr>
          <w:trHeight w:val="585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Имеющимся у Вас выбором различных банков для получения необходимых Вам банковских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12,3%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87,7%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</w:tr>
      <w:tr w:rsidR="00860187">
        <w:trPr>
          <w:trHeight w:val="1313"/>
        </w:trPr>
        <w:tc>
          <w:tcPr>
            <w:tcW w:w="3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Количеством и удобством расположения микро 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7,0%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23,0%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70,0%</w:t>
            </w:r>
          </w:p>
        </w:tc>
      </w:tr>
      <w:tr w:rsidR="00860187">
        <w:trPr>
          <w:trHeight w:val="1544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Имеющимся у Вас выбором различных микро 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5,3%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19,1%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75,6%</w:t>
            </w:r>
          </w:p>
        </w:tc>
      </w:tr>
      <w:tr w:rsidR="00860187">
        <w:trPr>
          <w:trHeight w:val="532"/>
        </w:trPr>
        <w:tc>
          <w:tcPr>
            <w:tcW w:w="35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Количеством и удобством расположения субъектов страхового дела</w:t>
            </w:r>
          </w:p>
          <w:p w:rsidR="00860187" w:rsidRDefault="0086018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6,8%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50,7%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42,5%</w:t>
            </w:r>
          </w:p>
        </w:tc>
      </w:tr>
      <w:tr w:rsidR="00860187">
        <w:trPr>
          <w:trHeight w:val="696"/>
        </w:trPr>
        <w:tc>
          <w:tcPr>
            <w:tcW w:w="3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  <w:p w:rsidR="00860187" w:rsidRDefault="0086018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14,0%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40,0%</w:t>
            </w:r>
          </w:p>
        </w:tc>
        <w:tc>
          <w:tcPr>
            <w:tcW w:w="1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46%</w:t>
            </w:r>
          </w:p>
        </w:tc>
      </w:tr>
      <w:tr w:rsidR="00860187">
        <w:trPr>
          <w:trHeight w:val="541"/>
        </w:trPr>
        <w:tc>
          <w:tcPr>
            <w:tcW w:w="3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Количеством и удобством расположения негосударственных пенсионных фондов</w:t>
            </w:r>
          </w:p>
          <w:p w:rsidR="00860187" w:rsidRDefault="0086018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25,4%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74,6%</w:t>
            </w:r>
          </w:p>
        </w:tc>
        <w:tc>
          <w:tcPr>
            <w:tcW w:w="1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</w:tr>
      <w:tr w:rsidR="00860187">
        <w:trPr>
          <w:trHeight w:val="690"/>
        </w:trPr>
        <w:tc>
          <w:tcPr>
            <w:tcW w:w="35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  <w:p w:rsidR="00860187" w:rsidRDefault="0086018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29,0%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71,0%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</w:tr>
      <w:tr w:rsidR="00860187">
        <w:trPr>
          <w:trHeight w:val="345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Количеством и удобством расположения брокеров</w:t>
            </w:r>
          </w:p>
          <w:p w:rsidR="00860187" w:rsidRDefault="0086018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  <w:tr w:rsidR="00860187">
        <w:trPr>
          <w:trHeight w:val="690"/>
        </w:trPr>
        <w:tc>
          <w:tcPr>
            <w:tcW w:w="35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Имеющимся у Вас выбором различных брокеров для получения необходимых Вам брокерских услуг</w:t>
            </w:r>
          </w:p>
          <w:p w:rsidR="00860187" w:rsidRDefault="0086018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  <w:tr w:rsidR="00860187">
        <w:trPr>
          <w:trHeight w:val="308"/>
        </w:trPr>
        <w:tc>
          <w:tcPr>
            <w:tcW w:w="3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Качеством интернет-связи</w:t>
            </w:r>
          </w:p>
          <w:p w:rsidR="00860187" w:rsidRDefault="0086018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12,0%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88%</w:t>
            </w:r>
          </w:p>
        </w:tc>
        <w:tc>
          <w:tcPr>
            <w:tcW w:w="1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</w:tr>
      <w:tr w:rsidR="00860187">
        <w:trPr>
          <w:trHeight w:val="271"/>
        </w:trPr>
        <w:tc>
          <w:tcPr>
            <w:tcW w:w="3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187" w:rsidRDefault="00FD7CC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Качеством мобильной связи</w:t>
            </w:r>
          </w:p>
          <w:p w:rsidR="00860187" w:rsidRDefault="0086018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2,5%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97,5%</w:t>
            </w:r>
          </w:p>
        </w:tc>
        <w:tc>
          <w:tcPr>
            <w:tcW w:w="18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60187" w:rsidRDefault="00FD7C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</w:tr>
    </w:tbl>
    <w:p w:rsidR="00860187" w:rsidRDefault="00860187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87" w:rsidRDefault="00860187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87" w:rsidRDefault="00FD7CC3">
      <w:p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доступности каналов обслуживания (наличия банкоматов и банковских терминалов) в среднем </w:t>
      </w:r>
      <w:r w:rsidR="00702C8D">
        <w:rPr>
          <w:rFonts w:ascii="Times New Roman" w:eastAsia="Times New Roman" w:hAnsi="Times New Roman" w:cs="Times New Roman"/>
          <w:sz w:val="28"/>
          <w:szCs w:val="28"/>
          <w:lang w:eastAsia="ru-RU"/>
        </w:rPr>
        <w:t>87,4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респондентов считают, что на территории Петровского муниципального округа Ставропольского края расположение касс в отделении банка и банкоматов (терминалов) без функции выдачи наличных денег расположенных вне отделения банка  позволяет им легко  воспользоваться ими. </w:t>
      </w:r>
    </w:p>
    <w:p w:rsidR="00860187" w:rsidRDefault="00FD7CC3">
      <w:p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банкоматов (терминалов) без функции выдачи наличных денег расположенных в отделении банка и платежных терминалов для приема наличных денег, в среднем 100% опрошенных указало на их доступность.</w:t>
      </w:r>
    </w:p>
    <w:p w:rsidR="00860187" w:rsidRDefault="00FD7CC3">
      <w:p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100% респондентов считают, что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-терминалы для безналичного расчета банковской картой есть практически в каждой организации торговли. </w:t>
      </w:r>
    </w:p>
    <w:p w:rsidR="00860187" w:rsidRDefault="00FD7CC3">
      <w:pPr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позволяют сделать вывод о высоком насыщении каналов доступа к финансовым продуктам (услугам), то есть найти хотя бы один канал получения финансовых услуг могут практически все категории населения.</w:t>
      </w:r>
    </w:p>
    <w:p w:rsidR="00860187" w:rsidRDefault="00860187">
      <w:pPr>
        <w:spacing w:before="0" w:after="0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0187" w:rsidRDefault="00860187">
      <w:pPr>
        <w:spacing w:before="0" w:after="0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0187" w:rsidRDefault="00FD7CC3">
      <w:pPr>
        <w:spacing w:before="0" w:after="0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Выводы по результатам мониторинга:</w:t>
      </w:r>
    </w:p>
    <w:p w:rsidR="00860187" w:rsidRDefault="00860187">
      <w:pPr>
        <w:spacing w:before="0" w:after="0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0187" w:rsidRDefault="00FD7CC3">
      <w:pPr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Конкуренция является необходимым и определяющим условием функционирования рыночной экономики, развития предпринимательской деятельности. В работе с инвесторами политика Петровского муниципального округа Ставропольского края направлена на снижение административных барьеров, минимизацию коррупционных рисков, а также на развитие системы «одного окна» и перехода на предоставление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 в электронном виде. Для всех инвесторов в городе действует принцип прозрачности и доступности информации, необходимой для осуществления инвестиционной деятельности. Принятые в муниципальном образовании нормативные правовые акты в области инвестиционной деятельности, в области содействия малому и среднему бизнесу на территории муниципального округа способствуют развитию конкуренции. Администрацией округа с целью развития конкурентной среды на рынках товаров и услуг города на постоянной основе выполняются мероприятия по: сокращению административных барьеров, исключению фактов действий, направленных на ограничение конкуренции; внедрению электронных технологий, направленных на автоматизацию и упрощение взаимодействия участников рынка с регулирующими органами; развитию муниципального заказа, обеспечению прозрачности процедур распределения муниципальных ресурсов; развитию малого и среднего предпринимательства; развитию межрегионального сотрудничества; сокращению барьеров входа на рынок; усилению конкурентных преимуществ отдельных отраслей экономики. </w:t>
      </w:r>
    </w:p>
    <w:p w:rsidR="00860187" w:rsidRDefault="00FD7CC3">
      <w:pPr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приняли участие преимущественно предприятия, осуществляющие свою деятельность более 5 лет. Большая часть являются собственниками бизнеса, а также руководителями высшего и среднего звена. Большинство респондентов представляли микро- и малые предприятия. По информации респондентов, большая часть организаций, участвовавших в опросе, занимается оптово-розничной торговлей, оказывает разного рода услуги, а также занимается производством. Основным рынком сбыта продукции около 70% случаев является локальный рынок.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Развитию конкуренции в округе способствуют мероприятия проводимые министерством экономического развития Ставропольского края и другими органами исполнительной власти в рамках региональной «дорожной карты». Важным шагом для развития конкуренции в Петровском муниципальном  округе стало внедрение Стандарта развития конкуренции.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Проведенный опрос представителей бизнеса и потребителей товаров, (работ, услуг) показал, что состояние конкуренции на товарных рынках Петровского муниципального округа держится на высоком уровне.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сохранения рыночной позиции бизнес регулярно предпринимает меры по повышению конкурентоспособности товаров и услуг, а также время от времени применяет новые способы ее повышению.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опроса предпринимателей основными мерами для повышения конкурентоспособности продукции, работ, услуг и развитию бизнеса, предпринимаемые ими являются (</w:t>
      </w:r>
      <w:r>
        <w:rPr>
          <w:rFonts w:ascii="Times New Roman" w:hAnsi="Times New Roman" w:cs="Times New Roman"/>
          <w:sz w:val="24"/>
          <w:szCs w:val="24"/>
        </w:rPr>
        <w:t>табл. 11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новые способы продвижения продукции (маркетинговые стратегии) – 66,9% (85) респондентов;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расширение новых модификаций и форм производимой продукции, расширение ассортимента – 18,0% (39);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и переподготовка персонала – 16,6% (36);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технического оборудования – 13,8% (30);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расширение системы представительств (торговой сети, сети филиалов и проч.) – 18,0% (6).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технологий, патентов, лицензий – 9,7% (21).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существует ряд барьеров, затрудняющих деятельность хозяйствующих субъектов на рынках. Прежде всего, это административные барьеры.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серьезными административными барьерами для ведения текущей деятельности или открытия нового бизнеса предприниматели назвали (</w:t>
      </w:r>
      <w:r>
        <w:rPr>
          <w:rFonts w:ascii="Times New Roman" w:hAnsi="Times New Roman" w:cs="Times New Roman"/>
          <w:sz w:val="24"/>
          <w:szCs w:val="24"/>
        </w:rPr>
        <w:t>табл. 19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налогов и платежей во внебюджетные фонды – 40 респондентов;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частые изменения российского законодательства, регулирующего предпринимательскую деятельность – 35 респондента;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-сложность/затянутость процедуры получения лицензий -13;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сложность получения доступа к земельным участкам – 13.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оценке бизнесом изменений уровня административных барьеров (</w:t>
      </w:r>
      <w:r>
        <w:rPr>
          <w:rFonts w:ascii="Times New Roman" w:hAnsi="Times New Roman" w:cs="Times New Roman"/>
          <w:sz w:val="24"/>
          <w:szCs w:val="24"/>
        </w:rPr>
        <w:t>табл. 22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бизнесу стало проще преодолевать административные барьеры, чем раньше – 98 респондент;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бизнесу стало сложнее преодолевать административные барьеры, чем раньше – 1 хозяйствующий субъект;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и количество административных барьеров не изменилось – 2.</w:t>
      </w:r>
    </w:p>
    <w:p w:rsidR="00860187" w:rsidRDefault="00FD7CC3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мониторинга свидетельствуют, что 119 респондента «удовлетворены» состоянием и развитием конкурентной среды, 12 – «неудовлеторены» (</w:t>
      </w:r>
      <w:r>
        <w:rPr>
          <w:rFonts w:ascii="Times New Roman" w:hAnsi="Times New Roman" w:cs="Times New Roman"/>
          <w:color w:val="000000"/>
          <w:sz w:val="22"/>
          <w:szCs w:val="22"/>
        </w:rPr>
        <w:t>табл 36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60187" w:rsidRDefault="00860187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187" w:rsidRDefault="00FD7CC3">
      <w:pPr>
        <w:pStyle w:val="23"/>
        <w:shd w:val="clear" w:color="auto" w:fill="auto"/>
        <w:spacing w:before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по содействию развитию конкуренции на территории Петровского муниципального округа Ставропольского края:</w:t>
      </w:r>
    </w:p>
    <w:p w:rsidR="00860187" w:rsidRDefault="00FD7CC3">
      <w:pPr>
        <w:pStyle w:val="23"/>
        <w:shd w:val="clear" w:color="auto" w:fill="auto"/>
        <w:spacing w:before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целью содействия развитию конкуренции на территории Петровского муниципального округа Ставропольского края необходима дальнейшая реализация мероприятий «дорожной карты» по содействию развитию конкуренции и по развитию конкурентной среды Петровского муниципального округа Ставропольского края;</w:t>
      </w:r>
    </w:p>
    <w:p w:rsidR="00860187" w:rsidRDefault="00FD7CC3">
      <w:pPr>
        <w:pStyle w:val="23"/>
        <w:shd w:val="clear" w:color="auto" w:fill="auto"/>
        <w:spacing w:before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практики заключения договоров с «единственным поставщиком» в закупочной деятельности;</w:t>
      </w:r>
    </w:p>
    <w:p w:rsidR="00860187" w:rsidRDefault="00FD7CC3">
      <w:pPr>
        <w:pStyle w:val="23"/>
        <w:shd w:val="clear" w:color="auto" w:fill="auto"/>
        <w:spacing w:before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мероприятий, направленных на поддержку субъектов малого и среднего предпринимательства, с учетом развития социально значимых и приоритетных рынков;</w:t>
      </w:r>
    </w:p>
    <w:p w:rsidR="00860187" w:rsidRDefault="00FD7CC3">
      <w:pPr>
        <w:pStyle w:val="23"/>
        <w:shd w:val="clear" w:color="auto" w:fill="auto"/>
        <w:spacing w:before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ярмарок «Выходного дня» с привлечением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сельхозпроизводителей для реализации их продукции;</w:t>
      </w:r>
    </w:p>
    <w:p w:rsidR="00860187" w:rsidRDefault="00FD7CC3">
      <w:pPr>
        <w:pStyle w:val="23"/>
        <w:shd w:val="clear" w:color="auto" w:fill="auto"/>
        <w:spacing w:before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предпринимательского сообщества о существующих инвестиционных проектах и инвестиционно - привлекательных земельных участках с целью привлечения инвесторов на территорию Петровского муниципального округа Ставропольского края;</w:t>
      </w:r>
    </w:p>
    <w:p w:rsidR="00860187" w:rsidRDefault="00FD7CC3">
      <w:pPr>
        <w:pStyle w:val="23"/>
        <w:shd w:val="clear" w:color="auto" w:fill="auto"/>
        <w:spacing w:before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начинающих фермеров и развитие деятельности малых форм хозяйствования в целях повышения конкурентоспособности сельскохозяйственной продукции товаропроизводителей.</w:t>
      </w:r>
    </w:p>
    <w:p w:rsidR="00860187" w:rsidRDefault="00FD7CC3">
      <w:pPr>
        <w:pStyle w:val="23"/>
        <w:shd w:val="clear" w:color="auto" w:fill="auto"/>
        <w:spacing w:before="0" w:line="240" w:lineRule="auto"/>
        <w:ind w:right="-1"/>
      </w:pPr>
      <w:r>
        <w:rPr>
          <w:rFonts w:ascii="Times New Roman" w:hAnsi="Times New Roman" w:cs="Times New Roman"/>
          <w:sz w:val="28"/>
          <w:szCs w:val="28"/>
        </w:rPr>
        <w:t>- проведение совещаний, круглых столов, конференций, единых информационных дней, с потребителями и субъектами предпринимательской деятельности по вопросам содействия развитию конкуренции на муниципальных рынках (ведение диалога органов власти, населения и бизнеса).</w:t>
      </w:r>
    </w:p>
    <w:p w:rsidR="00860187" w:rsidRDefault="00FD7CC3">
      <w:pPr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администрации Петровского муниципального округа Ставропольского края и в дальнейшем будет направлена на создание оптимальных условий для развития конкуренции в отраслях экономики округа и повышение компетенций сотрудников, ответственных за работу по внедрению стандарта конкуренции</w:t>
      </w:r>
    </w:p>
    <w:p w:rsidR="00860187" w:rsidRDefault="00860187">
      <w:pPr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018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804"/>
    <w:multiLevelType w:val="multilevel"/>
    <w:tmpl w:val="5726E4E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0C41F5"/>
    <w:multiLevelType w:val="multilevel"/>
    <w:tmpl w:val="2698F2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4E539C"/>
    <w:multiLevelType w:val="multilevel"/>
    <w:tmpl w:val="BEA085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D97D63"/>
    <w:multiLevelType w:val="multilevel"/>
    <w:tmpl w:val="048A9F14"/>
    <w:lvl w:ilvl="0">
      <w:start w:val="1"/>
      <w:numFmt w:val="decimal"/>
      <w:lvlText w:val="%1."/>
      <w:lvlJc w:val="left"/>
      <w:pPr>
        <w:tabs>
          <w:tab w:val="num" w:pos="0"/>
        </w:tabs>
        <w:ind w:left="975" w:hanging="9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4" w15:restartNumberingAfterBreak="0">
    <w:nsid w:val="2CA14ED9"/>
    <w:multiLevelType w:val="multilevel"/>
    <w:tmpl w:val="37564FB4"/>
    <w:lvl w:ilvl="0">
      <w:start w:val="3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6C294151"/>
    <w:multiLevelType w:val="multilevel"/>
    <w:tmpl w:val="E18091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E004F4B"/>
    <w:multiLevelType w:val="multilevel"/>
    <w:tmpl w:val="4CBAE2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60187"/>
    <w:rsid w:val="002A4098"/>
    <w:rsid w:val="006E11E4"/>
    <w:rsid w:val="00702C8D"/>
    <w:rsid w:val="00860187"/>
    <w:rsid w:val="00A10912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AE73"/>
  <w15:docId w15:val="{F42537CF-C56C-4BC9-BE1A-8A2D9A2A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1D"/>
    <w:pPr>
      <w:spacing w:before="100" w:after="200" w:line="276" w:lineRule="auto"/>
    </w:pPr>
  </w:style>
  <w:style w:type="paragraph" w:styleId="1">
    <w:name w:val="heading 1"/>
    <w:basedOn w:val="a"/>
    <w:next w:val="a"/>
    <w:uiPriority w:val="9"/>
    <w:qFormat/>
    <w:rsid w:val="0075031D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75031D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31D"/>
    <w:pPr>
      <w:pBdr>
        <w:top w:val="single" w:sz="6" w:space="2" w:color="5B9BD5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31D"/>
    <w:pPr>
      <w:pBdr>
        <w:top w:val="dotted" w:sz="6" w:space="2" w:color="5B9BD5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31D"/>
    <w:pPr>
      <w:pBdr>
        <w:bottom w:val="single" w:sz="6" w:space="1" w:color="5B9BD5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31D"/>
    <w:pPr>
      <w:pBdr>
        <w:bottom w:val="dotted" w:sz="6" w:space="1" w:color="5B9BD5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31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31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31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uiPriority w:val="9"/>
    <w:qFormat/>
    <w:rsid w:val="0075031D"/>
    <w:rPr>
      <w:caps/>
      <w:color w:val="FFFFFF" w:themeColor="background1"/>
      <w:spacing w:val="15"/>
      <w:sz w:val="22"/>
      <w:szCs w:val="22"/>
      <w:shd w:val="clear" w:color="auto" w:fill="5B9BD5"/>
    </w:rPr>
  </w:style>
  <w:style w:type="character" w:customStyle="1" w:styleId="20">
    <w:name w:val="Заголовок 2 Знак"/>
    <w:basedOn w:val="a0"/>
    <w:uiPriority w:val="9"/>
    <w:semiHidden/>
    <w:qFormat/>
    <w:rsid w:val="0075031D"/>
    <w:rPr>
      <w:caps/>
      <w:spacing w:val="15"/>
      <w:shd w:val="clear" w:color="auto" w:fill="DEEAF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5031D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75031D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75031D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75031D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75031D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75031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75031D"/>
    <w:rPr>
      <w:i/>
      <w:iCs/>
      <w:caps/>
      <w:spacing w:val="10"/>
      <w:sz w:val="18"/>
      <w:szCs w:val="18"/>
    </w:rPr>
  </w:style>
  <w:style w:type="character" w:customStyle="1" w:styleId="a3">
    <w:name w:val="Заголовок Знак"/>
    <w:basedOn w:val="a0"/>
    <w:uiPriority w:val="10"/>
    <w:qFormat/>
    <w:rsid w:val="0075031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75031D"/>
    <w:rPr>
      <w:caps/>
      <w:color w:val="595959" w:themeColor="text1" w:themeTint="A6"/>
      <w:spacing w:val="10"/>
      <w:sz w:val="21"/>
      <w:szCs w:val="21"/>
    </w:rPr>
  </w:style>
  <w:style w:type="character" w:styleId="a5">
    <w:name w:val="Strong"/>
    <w:uiPriority w:val="22"/>
    <w:qFormat/>
    <w:rsid w:val="0075031D"/>
    <w:rPr>
      <w:b/>
      <w:bCs/>
    </w:rPr>
  </w:style>
  <w:style w:type="character" w:styleId="a6">
    <w:name w:val="Emphasis"/>
    <w:uiPriority w:val="20"/>
    <w:qFormat/>
    <w:rsid w:val="0075031D"/>
    <w:rPr>
      <w:caps/>
      <w:color w:val="1F4D78" w:themeColor="accent1" w:themeShade="7F"/>
      <w:spacing w:val="5"/>
    </w:rPr>
  </w:style>
  <w:style w:type="character" w:customStyle="1" w:styleId="21">
    <w:name w:val="Цитата 2 Знак"/>
    <w:basedOn w:val="a0"/>
    <w:link w:val="22"/>
    <w:uiPriority w:val="29"/>
    <w:qFormat/>
    <w:rsid w:val="0075031D"/>
    <w:rPr>
      <w:i/>
      <w:iCs/>
      <w:sz w:val="24"/>
      <w:szCs w:val="24"/>
    </w:rPr>
  </w:style>
  <w:style w:type="character" w:customStyle="1" w:styleId="a7">
    <w:name w:val="Выделенная цитата Знак"/>
    <w:basedOn w:val="a0"/>
    <w:uiPriority w:val="30"/>
    <w:qFormat/>
    <w:rsid w:val="0075031D"/>
    <w:rPr>
      <w:color w:val="5B9BD5" w:themeColor="accent1"/>
      <w:sz w:val="24"/>
      <w:szCs w:val="24"/>
    </w:rPr>
  </w:style>
  <w:style w:type="character" w:styleId="a8">
    <w:name w:val="Subtle Emphasis"/>
    <w:uiPriority w:val="19"/>
    <w:qFormat/>
    <w:rsid w:val="0075031D"/>
    <w:rPr>
      <w:i/>
      <w:iCs/>
      <w:color w:val="1F4D78" w:themeColor="accent1" w:themeShade="7F"/>
    </w:rPr>
  </w:style>
  <w:style w:type="character" w:styleId="a9">
    <w:name w:val="Intense Emphasis"/>
    <w:uiPriority w:val="21"/>
    <w:qFormat/>
    <w:rsid w:val="0075031D"/>
    <w:rPr>
      <w:b/>
      <w:bCs/>
      <w:caps/>
      <w:color w:val="1F4D78" w:themeColor="accent1" w:themeShade="7F"/>
      <w:spacing w:val="10"/>
    </w:rPr>
  </w:style>
  <w:style w:type="character" w:styleId="aa">
    <w:name w:val="Subtle Reference"/>
    <w:uiPriority w:val="31"/>
    <w:qFormat/>
    <w:rsid w:val="0075031D"/>
    <w:rPr>
      <w:b/>
      <w:bCs/>
      <w:color w:val="5B9BD5" w:themeColor="accent1"/>
    </w:rPr>
  </w:style>
  <w:style w:type="character" w:styleId="ab">
    <w:name w:val="Intense Reference"/>
    <w:uiPriority w:val="32"/>
    <w:qFormat/>
    <w:rsid w:val="0075031D"/>
    <w:rPr>
      <w:b/>
      <w:bCs/>
      <w:i/>
      <w:iCs/>
      <w:caps/>
      <w:color w:val="5B9BD5" w:themeColor="accent1"/>
    </w:rPr>
  </w:style>
  <w:style w:type="character" w:styleId="ac">
    <w:name w:val="Book Title"/>
    <w:uiPriority w:val="33"/>
    <w:qFormat/>
    <w:rsid w:val="0075031D"/>
    <w:rPr>
      <w:b/>
      <w:bCs/>
      <w:i/>
      <w:iCs/>
      <w:spacing w:val="0"/>
    </w:rPr>
  </w:style>
  <w:style w:type="character" w:customStyle="1" w:styleId="ad">
    <w:name w:val="Основной текст_"/>
    <w:basedOn w:val="a0"/>
    <w:link w:val="23"/>
    <w:qFormat/>
    <w:rsid w:val="003D0E31"/>
    <w:rPr>
      <w:sz w:val="26"/>
      <w:szCs w:val="26"/>
      <w:shd w:val="clear" w:color="auto" w:fill="FFFFFF"/>
    </w:rPr>
  </w:style>
  <w:style w:type="character" w:customStyle="1" w:styleId="ae">
    <w:name w:val="Текст выноски Знак"/>
    <w:basedOn w:val="a0"/>
    <w:semiHidden/>
    <w:qFormat/>
    <w:rsid w:val="002340B9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0"/>
    <w:uiPriority w:val="99"/>
    <w:semiHidden/>
    <w:qFormat/>
    <w:rsid w:val="00517D9D"/>
  </w:style>
  <w:style w:type="character" w:customStyle="1" w:styleId="af0">
    <w:name w:val="Нижний колонтитул Знак"/>
    <w:basedOn w:val="a0"/>
    <w:uiPriority w:val="99"/>
    <w:semiHidden/>
    <w:qFormat/>
    <w:rsid w:val="00517D9D"/>
  </w:style>
  <w:style w:type="character" w:customStyle="1" w:styleId="12">
    <w:name w:val="Заголовок №1_"/>
    <w:basedOn w:val="a0"/>
    <w:link w:val="12"/>
    <w:qFormat/>
    <w:locked/>
    <w:rsid w:val="00160BDC"/>
    <w:rPr>
      <w:sz w:val="26"/>
      <w:szCs w:val="26"/>
      <w:shd w:val="clear" w:color="auto" w:fill="FFFFFF"/>
    </w:rPr>
  </w:style>
  <w:style w:type="paragraph" w:styleId="af1">
    <w:name w:val="Title"/>
    <w:basedOn w:val="a"/>
    <w:next w:val="af2"/>
    <w:uiPriority w:val="10"/>
    <w:qFormat/>
    <w:rsid w:val="0075031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Body Text"/>
    <w:basedOn w:val="a"/>
    <w:pPr>
      <w:spacing w:before="0" w:after="140"/>
    </w:pPr>
  </w:style>
  <w:style w:type="paragraph" w:styleId="af3">
    <w:name w:val="List"/>
    <w:basedOn w:val="af2"/>
    <w:rPr>
      <w:rFonts w:cs="Droid Sans Devanagari"/>
    </w:rPr>
  </w:style>
  <w:style w:type="paragraph" w:styleId="af4">
    <w:name w:val="caption"/>
    <w:basedOn w:val="a"/>
    <w:next w:val="a"/>
    <w:semiHidden/>
    <w:unhideWhenUsed/>
    <w:qFormat/>
    <w:rsid w:val="0075031D"/>
    <w:rPr>
      <w:b/>
      <w:bCs/>
      <w:color w:val="2E74B5" w:themeColor="accent1" w:themeShade="BF"/>
      <w:sz w:val="16"/>
      <w:szCs w:val="16"/>
    </w:rPr>
  </w:style>
  <w:style w:type="paragraph" w:styleId="af5">
    <w:name w:val="index heading"/>
    <w:basedOn w:val="af1"/>
  </w:style>
  <w:style w:type="paragraph" w:styleId="af6">
    <w:name w:val="Subtitle"/>
    <w:basedOn w:val="a"/>
    <w:next w:val="a"/>
    <w:uiPriority w:val="11"/>
    <w:qFormat/>
    <w:rsid w:val="0075031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af7">
    <w:name w:val="No Spacing"/>
    <w:uiPriority w:val="1"/>
    <w:qFormat/>
    <w:rsid w:val="0075031D"/>
    <w:pPr>
      <w:spacing w:before="100"/>
    </w:pPr>
  </w:style>
  <w:style w:type="paragraph" w:styleId="22">
    <w:name w:val="Quote"/>
    <w:basedOn w:val="a"/>
    <w:next w:val="a"/>
    <w:link w:val="21"/>
    <w:uiPriority w:val="29"/>
    <w:qFormat/>
    <w:rsid w:val="0075031D"/>
    <w:rPr>
      <w:i/>
      <w:iCs/>
      <w:sz w:val="24"/>
      <w:szCs w:val="24"/>
    </w:rPr>
  </w:style>
  <w:style w:type="paragraph" w:styleId="af8">
    <w:name w:val="Intense Quote"/>
    <w:basedOn w:val="a"/>
    <w:next w:val="a"/>
    <w:uiPriority w:val="30"/>
    <w:qFormat/>
    <w:rsid w:val="0075031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75031D"/>
    <w:pPr>
      <w:outlineLvl w:val="9"/>
    </w:pPr>
  </w:style>
  <w:style w:type="paragraph" w:styleId="afa">
    <w:name w:val="List Paragraph"/>
    <w:basedOn w:val="a"/>
    <w:uiPriority w:val="34"/>
    <w:qFormat/>
    <w:rsid w:val="003D0E31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сновной текст2"/>
    <w:basedOn w:val="a"/>
    <w:link w:val="ad"/>
    <w:qFormat/>
    <w:rsid w:val="003D0E31"/>
    <w:pPr>
      <w:widowControl w:val="0"/>
      <w:shd w:val="clear" w:color="auto" w:fill="FFFFFF"/>
      <w:spacing w:before="240" w:after="0" w:line="336" w:lineRule="exact"/>
      <w:ind w:firstLine="700"/>
      <w:jc w:val="both"/>
    </w:pPr>
    <w:rPr>
      <w:sz w:val="26"/>
      <w:szCs w:val="26"/>
    </w:rPr>
  </w:style>
  <w:style w:type="paragraph" w:styleId="afb">
    <w:name w:val="Balloon Text"/>
    <w:basedOn w:val="a"/>
    <w:semiHidden/>
    <w:unhideWhenUsed/>
    <w:qFormat/>
    <w:rsid w:val="002340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afc">
    <w:name w:val="Колонтитул"/>
    <w:basedOn w:val="a"/>
    <w:qFormat/>
  </w:style>
  <w:style w:type="paragraph" w:styleId="afd">
    <w:name w:val="header"/>
    <w:basedOn w:val="a"/>
    <w:uiPriority w:val="99"/>
    <w:semiHidden/>
    <w:unhideWhenUsed/>
    <w:rsid w:val="00517D9D"/>
    <w:pPr>
      <w:tabs>
        <w:tab w:val="center" w:pos="4677"/>
        <w:tab w:val="right" w:pos="9355"/>
      </w:tabs>
      <w:spacing w:before="0" w:after="0" w:line="240" w:lineRule="auto"/>
    </w:pPr>
  </w:style>
  <w:style w:type="paragraph" w:styleId="afe">
    <w:name w:val="footer"/>
    <w:basedOn w:val="a"/>
    <w:uiPriority w:val="99"/>
    <w:semiHidden/>
    <w:unhideWhenUsed/>
    <w:rsid w:val="00517D9D"/>
    <w:pPr>
      <w:tabs>
        <w:tab w:val="center" w:pos="4677"/>
        <w:tab w:val="right" w:pos="9355"/>
      </w:tabs>
      <w:spacing w:before="0" w:after="0" w:line="240" w:lineRule="auto"/>
    </w:pPr>
  </w:style>
  <w:style w:type="paragraph" w:customStyle="1" w:styleId="msonormal0">
    <w:name w:val="msonormal"/>
    <w:basedOn w:val="a"/>
    <w:qFormat/>
    <w:rsid w:val="00160B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60BDC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11">
    <w:name w:val="Заголовок №1"/>
    <w:basedOn w:val="a"/>
    <w:link w:val="10"/>
    <w:qFormat/>
    <w:rsid w:val="00160BDC"/>
    <w:pPr>
      <w:widowControl w:val="0"/>
      <w:shd w:val="clear" w:color="auto" w:fill="FFFFFF"/>
      <w:spacing w:before="360" w:after="360" w:line="326" w:lineRule="exact"/>
      <w:outlineLvl w:val="0"/>
    </w:pPr>
    <w:rPr>
      <w:sz w:val="26"/>
      <w:szCs w:val="26"/>
    </w:rPr>
  </w:style>
  <w:style w:type="paragraph" w:customStyle="1" w:styleId="13">
    <w:name w:val="Обычный1"/>
    <w:qFormat/>
    <w:rsid w:val="00E05E3F"/>
    <w:pPr>
      <w:tabs>
        <w:tab w:val="left" w:pos="709"/>
      </w:tabs>
      <w:spacing w:after="200" w:line="276" w:lineRule="auto"/>
      <w:ind w:firstLine="720"/>
      <w:jc w:val="both"/>
    </w:pPr>
    <w:rPr>
      <w:rFonts w:ascii="Courier New CYR" w:eastAsia="Calibri" w:hAnsi="Courier New CYR" w:cs="Courier New CYR"/>
      <w:sz w:val="28"/>
      <w:szCs w:val="28"/>
    </w:rPr>
  </w:style>
  <w:style w:type="paragraph" w:customStyle="1" w:styleId="Default">
    <w:name w:val="Default"/>
    <w:qFormat/>
    <w:rsid w:val="00746FD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236B06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Фигура"/>
    <w:basedOn w:val="a"/>
    <w:qFormat/>
    <w:rsid w:val="00B41C05"/>
    <w:pPr>
      <w:suppressLineNumbers/>
      <w:spacing w:before="120" w:after="120"/>
    </w:pPr>
    <w:rPr>
      <w:rFonts w:ascii="Calibri" w:eastAsia="Tahoma" w:hAnsi="Calibri" w:cs="Droid Sans Devanagari"/>
      <w:i/>
      <w:iCs/>
      <w:sz w:val="24"/>
      <w:szCs w:val="24"/>
    </w:r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59"/>
    <w:rsid w:val="00884F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image" Target="media/image2.pn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image" Target="../media/image3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solidFill>
                  <a:srgbClr val="00B05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Количества опрошенных респондентов по половому признаку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1733333333333565E-2"/>
          <c:y val="0.11638160203236615"/>
          <c:w val="0.90570256410256356"/>
          <c:h val="0.685953373475376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респондентов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414</c:v>
                </c:pt>
                <c:pt idx="1">
                  <c:v>390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98-4A25-8743-DEF7093FF5A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211</c:v>
                </c:pt>
                <c:pt idx="1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98-4A25-8743-DEF7093FF5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01170176"/>
        <c:axId val="102016128"/>
      </c:barChart>
      <c:lineChart>
        <c:grouping val="standard"/>
        <c:varyColors val="0"/>
        <c:ser>
          <c:idx val="2"/>
          <c:order val="2"/>
          <c:tx>
            <c:strRef>
              <c:f>Sheet1!$A$4</c:f>
              <c:strCache>
                <c:ptCount val="1"/>
                <c:pt idx="0">
                  <c:v>Мужчины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193</c:v>
                </c:pt>
                <c:pt idx="1">
                  <c:v>184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898-4A25-8743-DEF7093FF5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891200"/>
        <c:axId val="135889280"/>
      </c:lineChart>
      <c:catAx>
        <c:axId val="10117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2016128"/>
        <c:crosses val="autoZero"/>
        <c:auto val="1"/>
        <c:lblAlgn val="ctr"/>
        <c:lblOffset val="100"/>
        <c:noMultiLvlLbl val="0"/>
      </c:catAx>
      <c:valAx>
        <c:axId val="1020161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08">
            <a:noFill/>
          </a:ln>
        </c:spPr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170176"/>
        <c:crosses val="autoZero"/>
        <c:crossBetween val="between"/>
      </c:valAx>
      <c:valAx>
        <c:axId val="13588928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35891200"/>
        <c:crosses val="max"/>
        <c:crossBetween val="between"/>
      </c:valAx>
      <c:catAx>
        <c:axId val="1358912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5889280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b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400" b="1" strike="noStrike" spc="-1">
                <a:solidFill>
                  <a:srgbClr val="595959"/>
                </a:solidFill>
                <a:latin typeface="Calibri"/>
              </a:defRPr>
            </a:pPr>
            <a:r>
              <a:rPr lang="ru-RU" sz="1400" b="1" strike="noStrike" spc="-1">
                <a:solidFill>
                  <a:srgbClr val="595959"/>
                </a:solidFill>
                <a:latin typeface="Calibri"/>
              </a:rPr>
              <a:t>Оценка конкуренции</a:t>
            </a:r>
          </a:p>
        </c:rich>
      </c:tx>
      <c:layout/>
      <c:overlay val="0"/>
      <c:spPr>
        <a:noFill/>
        <a:ln w="0">
          <a:noFill/>
        </a:ln>
      </c:spPr>
    </c:title>
    <c:autoTitleDeleted val="0"/>
    <c:view3D>
      <c:rotX val="15"/>
      <c:rotY val="0"/>
      <c:rAngAx val="0"/>
    </c:view3D>
    <c:floor>
      <c:thickness val="0"/>
      <c:spPr>
        <a:solidFill>
          <a:srgbClr val="D9D9D9"/>
        </a:solidFill>
        <a:ln w="0">
          <a:noFill/>
        </a:ln>
      </c:spPr>
    </c:floor>
    <c:sideWall>
      <c:thickness val="0"/>
      <c:spPr>
        <a:solidFill>
          <a:srgbClr val="D9D9D9"/>
        </a:solidFill>
        <a:ln w="0">
          <a:noFill/>
        </a:ln>
      </c:spPr>
    </c:sideWall>
    <c:backWall>
      <c:thickness val="0"/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6.9750000000000006E-2"/>
          <c:y val="0.217555555555556"/>
          <c:w val="0.59375"/>
          <c:h val="0.75766666666666704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оценка конкуренции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dPt>
            <c:idx val="0"/>
            <c:bubble3D val="0"/>
            <c:spPr>
              <a:solidFill>
                <a:srgbClr val="5B9BD5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1-5F8F-4A52-9E02-5476EC3B9451}"/>
              </c:ext>
            </c:extLst>
          </c:dPt>
          <c:dPt>
            <c:idx val="1"/>
            <c:bubble3D val="0"/>
            <c:spPr>
              <a:solidFill>
                <a:srgbClr val="ED7D31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3-5F8F-4A52-9E02-5476EC3B9451}"/>
              </c:ext>
            </c:extLst>
          </c:dPt>
          <c:dPt>
            <c:idx val="2"/>
            <c:bubble3D val="0"/>
            <c:explosion val="69"/>
            <c:spPr>
              <a:solidFill>
                <a:srgbClr val="A5A5A5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5-5F8F-4A52-9E02-5476EC3B9451}"/>
              </c:ext>
            </c:extLst>
          </c:dPt>
          <c:dPt>
            <c:idx val="3"/>
            <c:bubble3D val="0"/>
            <c:explosion val="27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7-5F8F-4A52-9E02-5476EC3B9451}"/>
              </c:ext>
            </c:extLst>
          </c:dPt>
          <c:dPt>
            <c:idx val="4"/>
            <c:bubble3D val="0"/>
            <c:spPr>
              <a:solidFill>
                <a:srgbClr val="4472C4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9-5F8F-4A52-9E02-5476EC3B9451}"/>
              </c:ext>
            </c:extLst>
          </c:dPt>
          <c:dPt>
            <c:idx val="5"/>
            <c:bubble3D val="0"/>
            <c:spPr>
              <a:solidFill>
                <a:srgbClr val="70AD47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B-5F8F-4A52-9E02-5476EC3B9451}"/>
              </c:ext>
            </c:extLst>
          </c:dPt>
          <c:dLbls>
            <c:dLbl>
              <c:idx val="0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F8F-4A52-9E02-5476EC3B9451}"/>
                </c:ext>
              </c:extLst>
            </c:dLbl>
            <c:dLbl>
              <c:idx val="1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F8F-4A52-9E02-5476EC3B9451}"/>
                </c:ext>
              </c:extLst>
            </c:dLbl>
            <c:dLbl>
              <c:idx val="2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F8F-4A52-9E02-5476EC3B9451}"/>
                </c:ext>
              </c:extLst>
            </c:dLbl>
            <c:dLbl>
              <c:idx val="3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F8F-4A52-9E02-5476EC3B9451}"/>
                </c:ext>
              </c:extLst>
            </c:dLbl>
            <c:dLbl>
              <c:idx val="4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5F8F-4A52-9E02-5476EC3B9451}"/>
                </c:ext>
              </c:extLst>
            </c:dLbl>
            <c:dLbl>
              <c:idx val="5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5F8F-4A52-9E02-5476EC3B9451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6"/>
                <c:pt idx="0">
                  <c:v>слабая конкуренция</c:v>
                </c:pt>
                <c:pt idx="1">
                  <c:v>очень высокая конкуренция</c:v>
                </c:pt>
                <c:pt idx="2">
                  <c:v>высокая конкуренция</c:v>
                </c:pt>
                <c:pt idx="3">
                  <c:v>умеренная конкуренция</c:v>
                </c:pt>
                <c:pt idx="4">
                  <c:v>нет конкуренции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6.0999999999999999E-2</c:v>
                </c:pt>
                <c:pt idx="1">
                  <c:v>0.1</c:v>
                </c:pt>
                <c:pt idx="2">
                  <c:v>0.40400000000000003</c:v>
                </c:pt>
                <c:pt idx="3">
                  <c:v>0.42</c:v>
                </c:pt>
                <c:pt idx="4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F8F-4A52-9E02-5476EC3B9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zero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100" b="1" strike="noStrike" spc="-1">
                <a:solidFill>
                  <a:srgbClr val="44546A"/>
                </a:solidFill>
                <a:latin typeface="Calibri"/>
              </a:defRPr>
            </a:pPr>
            <a:r>
              <a:rPr lang="ru-RU" sz="1100" b="1" strike="noStrike" spc="-1">
                <a:solidFill>
                  <a:srgbClr val="44546A"/>
                </a:solidFill>
                <a:latin typeface="Calibri"/>
              </a:rPr>
              <a:t>Распределение предприятий и организаций относительно количества конкурентов на основном рынке, % к опрошенным</a:t>
            </a:r>
          </a:p>
        </c:rich>
      </c:tx>
      <c:layout/>
      <c:overlay val="0"/>
      <c:spPr>
        <a:noFill/>
        <a:ln w="0">
          <a:noFill/>
        </a:ln>
      </c:spPr>
    </c:title>
    <c:autoTitleDeleted val="0"/>
    <c:view3D>
      <c:rotX val="30"/>
      <c:rotY val="0"/>
      <c:rAngAx val="0"/>
    </c:view3D>
    <c:floor>
      <c:thickness val="0"/>
      <c:spPr>
        <a:solidFill>
          <a:srgbClr val="D9D9D9"/>
        </a:solidFill>
        <a:ln w="0">
          <a:noFill/>
        </a:ln>
      </c:spPr>
    </c:floor>
    <c:sideWall>
      <c:thickness val="0"/>
      <c:spPr>
        <a:solidFill>
          <a:srgbClr val="D9D9D9"/>
        </a:solidFill>
        <a:ln w="0">
          <a:noFill/>
        </a:ln>
      </c:spPr>
    </c:sideWall>
    <c:backWall>
      <c:thickness val="0"/>
      <c:spPr>
        <a:solidFill>
          <a:srgbClr val="D9D9D9"/>
        </a:solidFill>
        <a:ln w="0"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Распределение предприятий и организаций относительно количества конкурентов на основном рынке, % к опрошенным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dPt>
            <c:idx val="0"/>
            <c:bubble3D val="0"/>
            <c:spPr>
              <a:gradFill>
                <a:gsLst>
                  <a:gs pos="0">
                    <a:srgbClr val="71A6DA"/>
                  </a:gs>
                  <a:gs pos="100000">
                    <a:srgbClr val="549ADA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1-380D-4EE7-BF0A-D306D7D3B722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rgbClr val="F08C56"/>
                  </a:gs>
                  <a:gs pos="100000">
                    <a:srgbClr val="F57A27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3-380D-4EE7-BF0A-D306D7D3B722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AEAEAE"/>
                  </a:gs>
                  <a:gs pos="100000">
                    <a:srgbClr val="A4A4A4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5-380D-4EE7-BF0A-D306D7D3B722}"/>
              </c:ext>
            </c:extLst>
          </c:dPt>
          <c:dPt>
            <c:idx val="3"/>
            <c:bubble3D val="0"/>
            <c:spPr>
              <a:gradFill>
                <a:gsLst>
                  <a:gs pos="0">
                    <a:srgbClr val="FFC54B"/>
                  </a:gs>
                  <a:gs pos="100000">
                    <a:srgbClr val="FFBF00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7-380D-4EE7-BF0A-D306D7D3B722}"/>
              </c:ext>
            </c:extLst>
          </c:dPt>
          <c:dPt>
            <c:idx val="4"/>
            <c:bubble3D val="0"/>
            <c:spPr>
              <a:gradFill>
                <a:gsLst>
                  <a:gs pos="0">
                    <a:srgbClr val="6082CA"/>
                  </a:gs>
                  <a:gs pos="100000">
                    <a:srgbClr val="3D6FC9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9-380D-4EE7-BF0A-D306D7D3B722}"/>
              </c:ext>
            </c:extLst>
          </c:dPt>
          <c:dPt>
            <c:idx val="5"/>
            <c:bubble3D val="0"/>
            <c:spPr>
              <a:gradFill>
                <a:gsLst>
                  <a:gs pos="0">
                    <a:srgbClr val="80B761"/>
                  </a:gs>
                  <a:gs pos="100000">
                    <a:srgbClr val="6FB142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B-380D-4EE7-BF0A-D306D7D3B722}"/>
              </c:ext>
            </c:extLst>
          </c:dPt>
          <c:dLbls>
            <c:dLbl>
              <c:idx val="0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80D-4EE7-BF0A-D306D7D3B722}"/>
                </c:ext>
              </c:extLst>
            </c:dLbl>
            <c:dLbl>
              <c:idx val="1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80D-4EE7-BF0A-D306D7D3B722}"/>
                </c:ext>
              </c:extLst>
            </c:dLbl>
            <c:dLbl>
              <c:idx val="2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80D-4EE7-BF0A-D306D7D3B722}"/>
                </c:ext>
              </c:extLst>
            </c:dLbl>
            <c:dLbl>
              <c:idx val="3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80D-4EE7-BF0A-D306D7D3B722}"/>
                </c:ext>
              </c:extLst>
            </c:dLbl>
            <c:dLbl>
              <c:idx val="4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80D-4EE7-BF0A-D306D7D3B722}"/>
                </c:ext>
              </c:extLst>
            </c:dLbl>
            <c:dLbl>
              <c:idx val="5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80D-4EE7-BF0A-D306D7D3B72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4546A"/>
                    </a:solidFill>
                    <a:latin typeface="Calibri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6"/>
                <c:pt idx="1">
                  <c:v>большое число конкурентов</c:v>
                </c:pt>
                <c:pt idx="2">
                  <c:v>4 и более конкурентов</c:v>
                </c:pt>
                <c:pt idx="3">
                  <c:v>от 1 до 3 конкурентов</c:v>
                </c:pt>
                <c:pt idx="4">
                  <c:v>нет конкурентов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0</c:v>
                </c:pt>
                <c:pt idx="1">
                  <c:v>0.46600000000000003</c:v>
                </c:pt>
                <c:pt idx="2">
                  <c:v>0.29799999999999999</c:v>
                </c:pt>
                <c:pt idx="3">
                  <c:v>0.17499999999999999</c:v>
                </c:pt>
                <c:pt idx="4">
                  <c:v>6.0999999999999999E-2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80D-4EE7-BF0A-D306D7D3B7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44546A"/>
              </a:solidFill>
              <a:latin typeface="Calibri"/>
            </a:defRPr>
          </a:pPr>
          <a:endParaRPr lang="ru-RU"/>
        </a:p>
      </c:txPr>
    </c:legend>
    <c:plotVisOnly val="1"/>
    <c:dispBlanksAs val="zero"/>
    <c:showDLblsOverMax val="1"/>
  </c:chart>
  <c:spPr>
    <a:solidFill>
      <a:srgbClr val="FFFFFF"/>
    </a:solidFill>
    <a:ln w="9360">
      <a:solidFill>
        <a:srgbClr val="E0E5EB"/>
      </a:solidFill>
      <a:round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100" b="1" strike="noStrike" spc="-1">
                <a:solidFill>
                  <a:srgbClr val="44546A"/>
                </a:solidFill>
                <a:latin typeface="Calibri"/>
              </a:defRPr>
            </a:pPr>
            <a:r>
              <a:rPr lang="ru-RU" sz="1100" b="1" strike="noStrike" spc="-1">
                <a:solidFill>
                  <a:srgbClr val="44546A"/>
                </a:solidFill>
                <a:latin typeface="Calibri"/>
              </a:rPr>
              <a:t>Распределение предприятий и организаций относительно количества конкурентов за последние 3 года, % к опрошенным</a:t>
            </a:r>
          </a:p>
        </c:rich>
      </c:tx>
      <c:layout/>
      <c:overlay val="0"/>
      <c:spPr>
        <a:noFill/>
        <a:ln w="0">
          <a:noFill/>
        </a:ln>
      </c:spPr>
    </c:title>
    <c:autoTitleDeleted val="0"/>
    <c:view3D>
      <c:rotX val="30"/>
      <c:rotY val="0"/>
      <c:rAngAx val="0"/>
    </c:view3D>
    <c:floor>
      <c:thickness val="0"/>
      <c:spPr>
        <a:solidFill>
          <a:srgbClr val="D9D9D9"/>
        </a:solidFill>
        <a:ln w="0">
          <a:noFill/>
        </a:ln>
      </c:spPr>
    </c:floor>
    <c:sideWall>
      <c:thickness val="0"/>
      <c:spPr>
        <a:solidFill>
          <a:srgbClr val="D9D9D9"/>
        </a:solidFill>
        <a:ln w="0">
          <a:noFill/>
        </a:ln>
      </c:spPr>
    </c:sideWall>
    <c:backWall>
      <c:thickness val="0"/>
      <c:spPr>
        <a:solidFill>
          <a:srgbClr val="D9D9D9"/>
        </a:solidFill>
        <a:ln w="0"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Распределение предприятий и организаций относительно количества конкурентов за последние 3 года, % к опрошенным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dPt>
            <c:idx val="0"/>
            <c:bubble3D val="0"/>
            <c:spPr>
              <a:gradFill>
                <a:gsLst>
                  <a:gs pos="0">
                    <a:srgbClr val="71A6DA"/>
                  </a:gs>
                  <a:gs pos="100000">
                    <a:srgbClr val="549ADA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1-85C2-4FDA-BFA0-B76FD1901856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rgbClr val="F08C56"/>
                  </a:gs>
                  <a:gs pos="100000">
                    <a:srgbClr val="F57A27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3-85C2-4FDA-BFA0-B76FD1901856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AEAEAE"/>
                  </a:gs>
                  <a:gs pos="100000">
                    <a:srgbClr val="A4A4A4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5-85C2-4FDA-BFA0-B76FD1901856}"/>
              </c:ext>
            </c:extLst>
          </c:dPt>
          <c:dPt>
            <c:idx val="3"/>
            <c:bubble3D val="0"/>
            <c:spPr>
              <a:gradFill>
                <a:gsLst>
                  <a:gs pos="0">
                    <a:srgbClr val="FFC54B"/>
                  </a:gs>
                  <a:gs pos="100000">
                    <a:srgbClr val="FFBF00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7-85C2-4FDA-BFA0-B76FD1901856}"/>
              </c:ext>
            </c:extLst>
          </c:dPt>
          <c:dPt>
            <c:idx val="4"/>
            <c:bubble3D val="0"/>
            <c:spPr>
              <a:gradFill>
                <a:gsLst>
                  <a:gs pos="0">
                    <a:srgbClr val="6082CA"/>
                  </a:gs>
                  <a:gs pos="100000">
                    <a:srgbClr val="3D6FC9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9-85C2-4FDA-BFA0-B76FD1901856}"/>
              </c:ext>
            </c:extLst>
          </c:dPt>
          <c:dPt>
            <c:idx val="5"/>
            <c:bubble3D val="0"/>
            <c:spPr>
              <a:gradFill>
                <a:gsLst>
                  <a:gs pos="0">
                    <a:srgbClr val="80B761"/>
                  </a:gs>
                  <a:gs pos="100000">
                    <a:srgbClr val="6FB142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B-85C2-4FDA-BFA0-B76FD1901856}"/>
              </c:ext>
            </c:extLst>
          </c:dPt>
          <c:dLbls>
            <c:dLbl>
              <c:idx val="0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5C2-4FDA-BFA0-B76FD1901856}"/>
                </c:ext>
              </c:extLst>
            </c:dLbl>
            <c:dLbl>
              <c:idx val="1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5C2-4FDA-BFA0-B76FD1901856}"/>
                </c:ext>
              </c:extLst>
            </c:dLbl>
            <c:dLbl>
              <c:idx val="2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5C2-4FDA-BFA0-B76FD1901856}"/>
                </c:ext>
              </c:extLst>
            </c:dLbl>
            <c:dLbl>
              <c:idx val="3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5C2-4FDA-BFA0-B76FD1901856}"/>
                </c:ext>
              </c:extLst>
            </c:dLbl>
            <c:dLbl>
              <c:idx val="4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5C2-4FDA-BFA0-B76FD1901856}"/>
                </c:ext>
              </c:extLst>
            </c:dLbl>
            <c:dLbl>
              <c:idx val="5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85C2-4FDA-BFA0-B76FD190185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4546A"/>
                    </a:solidFill>
                    <a:latin typeface="Calibri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6"/>
                <c:pt idx="1">
                  <c:v>увеличилось на 1-3 конкурента</c:v>
                </c:pt>
                <c:pt idx="2">
                  <c:v>увеличилось более чем на 4 конкурента</c:v>
                </c:pt>
                <c:pt idx="3">
                  <c:v>сократилось на 1-3 конкурента</c:v>
                </c:pt>
                <c:pt idx="4">
                  <c:v>сократилось более чем на 4 конкурента</c:v>
                </c:pt>
                <c:pt idx="5">
                  <c:v>не изменилось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0</c:v>
                </c:pt>
                <c:pt idx="1">
                  <c:v>0.57999999999999996</c:v>
                </c:pt>
                <c:pt idx="2">
                  <c:v>0.29799999999999999</c:v>
                </c:pt>
                <c:pt idx="3">
                  <c:v>4.5999999999999999E-2</c:v>
                </c:pt>
                <c:pt idx="4">
                  <c:v>3.7999999999999999E-2</c:v>
                </c:pt>
                <c:pt idx="5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5C2-4FDA-BFA0-B76FD19018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44546A"/>
              </a:solidFill>
              <a:latin typeface="Calibri"/>
            </a:defRPr>
          </a:pPr>
          <a:endParaRPr lang="ru-RU"/>
        </a:p>
      </c:txPr>
    </c:legend>
    <c:plotVisOnly val="1"/>
    <c:dispBlanksAs val="zero"/>
    <c:showDLblsOverMax val="1"/>
  </c:chart>
  <c:spPr>
    <a:solidFill>
      <a:srgbClr val="FFFFFF"/>
    </a:solidFill>
    <a:ln w="9360">
      <a:solidFill>
        <a:srgbClr val="E0E5EB"/>
      </a:solidFill>
      <a:round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100" b="1" strike="noStrike" spc="-1">
                <a:solidFill>
                  <a:srgbClr val="44546A"/>
                </a:solidFill>
                <a:latin typeface="Calibri"/>
              </a:defRPr>
            </a:pPr>
            <a:r>
              <a:rPr lang="ru-RU" sz="1100" b="1" strike="noStrike" spc="-1">
                <a:solidFill>
                  <a:srgbClr val="44546A"/>
                </a:solidFill>
                <a:latin typeface="Calibri"/>
              </a:rPr>
              <a:t>Распределение предприятий и организаций относительно числа поставщиков основного закупаемого товара (работы, услуги), % к опрошенным</a:t>
            </a:r>
          </a:p>
        </c:rich>
      </c:tx>
      <c:layout/>
      <c:overlay val="0"/>
      <c:spPr>
        <a:noFill/>
        <a:ln w="0">
          <a:noFill/>
        </a:ln>
      </c:spPr>
    </c:title>
    <c:autoTitleDeleted val="0"/>
    <c:view3D>
      <c:rotX val="30"/>
      <c:rotY val="0"/>
      <c:rAngAx val="0"/>
    </c:view3D>
    <c:floor>
      <c:thickness val="0"/>
      <c:spPr>
        <a:solidFill>
          <a:srgbClr val="D9D9D9"/>
        </a:solidFill>
        <a:ln w="0">
          <a:noFill/>
        </a:ln>
      </c:spPr>
    </c:floor>
    <c:sideWall>
      <c:thickness val="0"/>
      <c:spPr>
        <a:solidFill>
          <a:srgbClr val="D9D9D9"/>
        </a:solidFill>
        <a:ln w="0">
          <a:noFill/>
        </a:ln>
      </c:spPr>
    </c:sideWall>
    <c:backWall>
      <c:thickness val="0"/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8.9062500000000003E-2"/>
          <c:y val="0.22622222222222199"/>
          <c:w val="0.54181250000000003"/>
          <c:h val="0.65344444444444405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Распределение предприятий и организаций относительно числа поставщиков основного закупаемого товара (работы, услуги), % к опрошенным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dPt>
            <c:idx val="0"/>
            <c:bubble3D val="0"/>
            <c:spPr>
              <a:gradFill>
                <a:gsLst>
                  <a:gs pos="0">
                    <a:srgbClr val="71A6DA"/>
                  </a:gs>
                  <a:gs pos="100000">
                    <a:srgbClr val="549ADA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1-B67A-4BEB-91F7-C462F683B2B3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rgbClr val="F08C56"/>
                  </a:gs>
                  <a:gs pos="100000">
                    <a:srgbClr val="F57A27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3-B67A-4BEB-91F7-C462F683B2B3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AEAEAE"/>
                  </a:gs>
                  <a:gs pos="100000">
                    <a:srgbClr val="A4A4A4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5-B67A-4BEB-91F7-C462F683B2B3}"/>
              </c:ext>
            </c:extLst>
          </c:dPt>
          <c:dPt>
            <c:idx val="3"/>
            <c:bubble3D val="0"/>
            <c:spPr>
              <a:gradFill>
                <a:gsLst>
                  <a:gs pos="0">
                    <a:srgbClr val="FFC54B"/>
                  </a:gs>
                  <a:gs pos="100000">
                    <a:srgbClr val="FFBF00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7-B67A-4BEB-91F7-C462F683B2B3}"/>
              </c:ext>
            </c:extLst>
          </c:dPt>
          <c:dPt>
            <c:idx val="4"/>
            <c:bubble3D val="0"/>
            <c:spPr>
              <a:gradFill>
                <a:gsLst>
                  <a:gs pos="0">
                    <a:srgbClr val="6082CA"/>
                  </a:gs>
                  <a:gs pos="100000">
                    <a:srgbClr val="3D6FC9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9-B67A-4BEB-91F7-C462F683B2B3}"/>
              </c:ext>
            </c:extLst>
          </c:dPt>
          <c:dPt>
            <c:idx val="5"/>
            <c:bubble3D val="0"/>
            <c:spPr>
              <a:gradFill>
                <a:gsLst>
                  <a:gs pos="0">
                    <a:srgbClr val="80B761"/>
                  </a:gs>
                  <a:gs pos="100000">
                    <a:srgbClr val="6FB142"/>
                  </a:gs>
                </a:gsLst>
                <a:lin ang="54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B-B67A-4BEB-91F7-C462F683B2B3}"/>
              </c:ext>
            </c:extLst>
          </c:dPt>
          <c:dLbls>
            <c:dLbl>
              <c:idx val="0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67A-4BEB-91F7-C462F683B2B3}"/>
                </c:ext>
              </c:extLst>
            </c:dLbl>
            <c:dLbl>
              <c:idx val="1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67A-4BEB-91F7-C462F683B2B3}"/>
                </c:ext>
              </c:extLst>
            </c:dLbl>
            <c:dLbl>
              <c:idx val="2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67A-4BEB-91F7-C462F683B2B3}"/>
                </c:ext>
              </c:extLst>
            </c:dLbl>
            <c:dLbl>
              <c:idx val="3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67A-4BEB-91F7-C462F683B2B3}"/>
                </c:ext>
              </c:extLst>
            </c:dLbl>
            <c:dLbl>
              <c:idx val="4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B67A-4BEB-91F7-C462F683B2B3}"/>
                </c:ext>
              </c:extLst>
            </c:dLbl>
            <c:dLbl>
              <c:idx val="5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4546A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B67A-4BEB-91F7-C462F683B2B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4546A"/>
                    </a:solidFill>
                    <a:latin typeface="Calibri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6"/>
                <c:pt idx="1">
                  <c:v>единственный поставщик</c:v>
                </c:pt>
                <c:pt idx="2">
                  <c:v>2-3 поставщика</c:v>
                </c:pt>
                <c:pt idx="3">
                  <c:v>4 и более поставщика</c:v>
                </c:pt>
                <c:pt idx="4">
                  <c:v>большое число поставщиков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0</c:v>
                </c:pt>
                <c:pt idx="1">
                  <c:v>8.4000000000000005E-2</c:v>
                </c:pt>
                <c:pt idx="2">
                  <c:v>0.35899999999999999</c:v>
                </c:pt>
                <c:pt idx="3">
                  <c:v>0.32</c:v>
                </c:pt>
                <c:pt idx="4">
                  <c:v>0.23699999999999999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67A-4BEB-91F7-C462F683B2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44546A"/>
              </a:solidFill>
              <a:latin typeface="Calibri"/>
            </a:defRPr>
          </a:pPr>
          <a:endParaRPr lang="ru-RU"/>
        </a:p>
      </c:txPr>
    </c:legend>
    <c:plotVisOnly val="1"/>
    <c:dispBlanksAs val="zero"/>
    <c:showDLblsOverMax val="1"/>
  </c:chart>
  <c:spPr>
    <a:solidFill>
      <a:srgbClr val="FFFFFF"/>
    </a:solidFill>
    <a:ln w="9360">
      <a:solidFill>
        <a:srgbClr val="E0E5EB"/>
      </a:solidFill>
      <a:round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view3D>
      <c:rotX val="15"/>
      <c:rotY val="20"/>
      <c:rAngAx val="0"/>
    </c:view3D>
    <c:floor>
      <c:thickness val="0"/>
      <c:spPr>
        <a:noFill/>
        <a:ln w="6480">
          <a:solidFill>
            <a:srgbClr val="8B8B8B"/>
          </a:solidFill>
          <a:round/>
        </a:ln>
      </c:spPr>
    </c:floor>
    <c:sideWall>
      <c:thickness val="0"/>
      <c:spPr>
        <a:noFill/>
        <a:ln w="6480">
          <a:noFill/>
        </a:ln>
      </c:spPr>
    </c:sideWall>
    <c:backWall>
      <c:thickness val="0"/>
      <c:spPr>
        <a:noFill/>
        <a:ln w="6480">
          <a:noFill/>
        </a:ln>
      </c:spPr>
    </c:backWall>
    <c:plotArea>
      <c:layout>
        <c:manualLayout>
          <c:layoutTarget val="inner"/>
          <c:xMode val="edge"/>
          <c:yMode val="edge"/>
          <c:x val="0.21437500000000001"/>
          <c:y val="7.36666666666667E-2"/>
          <c:w val="0.78562500000000002"/>
          <c:h val="0.4862222222222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2024 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FFFFFF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categories</c:f>
              <c:strCache>
                <c:ptCount val="7"/>
                <c:pt idx="0">
                  <c:v>сложность/затянутость получения лицензий</c:v>
                </c:pt>
                <c:pt idx="1">
                  <c:v>нестабильность российского законодательства</c:v>
                </c:pt>
                <c:pt idx="2">
                  <c:v>высокие налоги</c:v>
                </c:pt>
                <c:pt idx="3">
                  <c:v>ограничение/сложность доступа к поставкам товаров, оказанию услуг и выполнению работ в рамках госзакупок</c:v>
                </c:pt>
                <c:pt idx="4">
                  <c:v>нет ограничений</c:v>
                </c:pt>
                <c:pt idx="5">
                  <c:v>другое</c:v>
                </c:pt>
                <c:pt idx="6">
                  <c:v>сложность получения доступа к земельным участкам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0.1</c:v>
                </c:pt>
                <c:pt idx="1">
                  <c:v>0.26700000000000002</c:v>
                </c:pt>
                <c:pt idx="2">
                  <c:v>0.30499999999999999</c:v>
                </c:pt>
                <c:pt idx="3">
                  <c:v>0.1</c:v>
                </c:pt>
                <c:pt idx="4">
                  <c:v>0.129</c:v>
                </c:pt>
                <c:pt idx="5">
                  <c:v>0</c:v>
                </c:pt>
                <c:pt idx="6">
                  <c:v>9.9000000000000005E-2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6E-4B6F-925E-89474128FD0A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 г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FFFFFF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categories</c:f>
              <c:strCache>
                <c:ptCount val="7"/>
                <c:pt idx="0">
                  <c:v>сложность/затянутость получения лицензий</c:v>
                </c:pt>
                <c:pt idx="1">
                  <c:v>нестабильность российского законодательства</c:v>
                </c:pt>
                <c:pt idx="2">
                  <c:v>высокие налоги</c:v>
                </c:pt>
                <c:pt idx="3">
                  <c:v>ограничение/сложность доступа к поставкам товаров, оказанию услуг и выполнению работ в рамках госзакупок</c:v>
                </c:pt>
                <c:pt idx="4">
                  <c:v>нет ограничений</c:v>
                </c:pt>
                <c:pt idx="5">
                  <c:v>другое</c:v>
                </c:pt>
                <c:pt idx="6">
                  <c:v>сложность получения доступа к земельным участкам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9.9000000000000005E-2</c:v>
                </c:pt>
                <c:pt idx="1">
                  <c:v>0.27</c:v>
                </c:pt>
                <c:pt idx="2">
                  <c:v>0.35099999999999998</c:v>
                </c:pt>
                <c:pt idx="3">
                  <c:v>0.09</c:v>
                </c:pt>
                <c:pt idx="4">
                  <c:v>1.7999999999999999E-2</c:v>
                </c:pt>
                <c:pt idx="5">
                  <c:v>8.1000000000000003E-2</c:v>
                </c:pt>
                <c:pt idx="6">
                  <c:v>9.0999999999999998E-2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6E-4B6F-925E-89474128FD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9"/>
        <c:shape val="cylinder"/>
        <c:axId val="11870078"/>
        <c:axId val="63221830"/>
        <c:axId val="0"/>
      </c:bar3DChart>
      <c:catAx>
        <c:axId val="11870078"/>
        <c:scaling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800" b="0" strike="noStrike" spc="117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63221830"/>
        <c:crosses val="autoZero"/>
        <c:auto val="1"/>
        <c:lblAlgn val="ctr"/>
        <c:lblOffset val="100"/>
        <c:noMultiLvlLbl val="0"/>
      </c:catAx>
      <c:valAx>
        <c:axId val="6322183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870078"/>
        <c:crosses val="autoZero"/>
        <c:crossBetween val="between"/>
      </c:valAx>
    </c:plotArea>
    <c:legend>
      <c:legendPos val="t"/>
      <c:layout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административные барьеры есть, но они преодолимы без существенных затрат</c:v>
                </c:pt>
                <c:pt idx="1">
                  <c:v>нет административных барьеров</c:v>
                </c:pt>
                <c:pt idx="2">
                  <c:v>есть барьеры, преодолимые при осуществлении значительных затрат</c:v>
                </c:pt>
              </c:strCache>
            </c:strRef>
          </c:cat>
          <c:val>
            <c:numRef>
              <c:f>Лист1!$B$3:$B$5</c:f>
              <c:numCache>
                <c:formatCode>0.0%</c:formatCode>
                <c:ptCount val="3"/>
                <c:pt idx="0">
                  <c:v>0.56499999999999995</c:v>
                </c:pt>
                <c:pt idx="1">
                  <c:v>0.39700000000000002</c:v>
                </c:pt>
                <c:pt idx="2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A8-400D-AFAA-6AE204246BE5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Лист1!$A$3:$A$5</c:f>
              <c:strCache>
                <c:ptCount val="3"/>
                <c:pt idx="0">
                  <c:v>административные барьеры есть, но они преодолимы без существенных затрат</c:v>
                </c:pt>
                <c:pt idx="1">
                  <c:v>нет административных барьеров</c:v>
                </c:pt>
                <c:pt idx="2">
                  <c:v>есть барьеры, преодолимые при осуществлении значительных затрат</c:v>
                </c:pt>
              </c:strCache>
            </c:strRef>
          </c:cat>
          <c:val>
            <c:numRef>
              <c:f>Лист1!$C$3:$C$5</c:f>
              <c:numCache>
                <c:formatCode>0.0%</c:formatCode>
                <c:ptCount val="3"/>
                <c:pt idx="0">
                  <c:v>0.58599999999999997</c:v>
                </c:pt>
                <c:pt idx="1">
                  <c:v>0.378</c:v>
                </c:pt>
                <c:pt idx="2">
                  <c:v>3.5999999999999997E-2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A8-400D-AFAA-6AE204246BE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201692672"/>
        <c:axId val="201694208"/>
      </c:barChart>
      <c:catAx>
        <c:axId val="201692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694208"/>
        <c:crosses val="autoZero"/>
        <c:auto val="1"/>
        <c:lblAlgn val="ctr"/>
        <c:lblOffset val="100"/>
        <c:noMultiLvlLbl val="0"/>
      </c:catAx>
      <c:valAx>
        <c:axId val="20169420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016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view3D>
      <c:rotX val="15"/>
      <c:rotY val="20"/>
      <c:rAngAx val="0"/>
    </c:view3D>
    <c:floor>
      <c:thickness val="0"/>
      <c:spPr>
        <a:noFill/>
        <a:ln w="6480">
          <a:solidFill>
            <a:srgbClr val="8B8B8B"/>
          </a:solidFill>
          <a:round/>
        </a:ln>
      </c:spPr>
    </c:floor>
    <c:sideWall>
      <c:thickness val="0"/>
      <c:spPr>
        <a:noFill/>
        <a:ln w="6480">
          <a:noFill/>
        </a:ln>
      </c:spPr>
    </c:sideWall>
    <c:backWall>
      <c:thickness val="0"/>
      <c:spPr>
        <a:noFill/>
        <a:ln w="6480">
          <a:noFill/>
        </a:ln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2024 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FFFFFF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административные барьеры были полностью устранены</c:v>
                </c:pt>
                <c:pt idx="1">
                  <c:v>бизнесу стало проще преодолевать административные барьеры,чем раньше</c:v>
                </c:pt>
                <c:pt idx="2">
                  <c:v>уровень и количество административных барьеров не изменились</c:v>
                </c:pt>
                <c:pt idx="3">
                  <c:v>бизнесу стало сложнее преодолевать административные барьеры, чем раньше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0.22900000000000001</c:v>
                </c:pt>
                <c:pt idx="1">
                  <c:v>0.748000000000001</c:v>
                </c:pt>
                <c:pt idx="2">
                  <c:v>1.4999999999999999E-2</c:v>
                </c:pt>
                <c:pt idx="3">
                  <c:v>8.0000000000000106E-3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33-4449-83DB-AF3E4A6F8701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 г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FFFFFF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административные барьеры были полностью устранены</c:v>
                </c:pt>
                <c:pt idx="1">
                  <c:v>бизнесу стало проще преодолевать административные барьеры,чем раньше</c:v>
                </c:pt>
                <c:pt idx="2">
                  <c:v>уровень и количество административных барьеров не изменились</c:v>
                </c:pt>
                <c:pt idx="3">
                  <c:v>бизнесу стало сложнее преодолевать административные барьеры, чем раньше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0.252</c:v>
                </c:pt>
                <c:pt idx="1">
                  <c:v>0.73000000000000098</c:v>
                </c:pt>
                <c:pt idx="2">
                  <c:v>8.9999999999999993E-3</c:v>
                </c:pt>
                <c:pt idx="3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33-4449-83DB-AF3E4A6F87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9"/>
        <c:shape val="cylinder"/>
        <c:axId val="73531373"/>
        <c:axId val="79589921"/>
        <c:axId val="0"/>
      </c:bar3DChart>
      <c:catAx>
        <c:axId val="73531373"/>
        <c:scaling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800" b="0" strike="noStrike" spc="117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79589921"/>
        <c:crosses val="autoZero"/>
        <c:auto val="1"/>
        <c:lblAlgn val="ctr"/>
        <c:lblOffset val="100"/>
        <c:noMultiLvlLbl val="0"/>
      </c:catAx>
      <c:valAx>
        <c:axId val="7958992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73531373"/>
        <c:crosses val="autoZero"/>
        <c:crossBetween val="between"/>
      </c:valAx>
    </c:plotArea>
    <c:legend>
      <c:legendPos val="t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1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100" b="1" strike="noStrike" spc="-1">
                <a:solidFill>
                  <a:srgbClr val="000000"/>
                </a:solidFill>
                <a:latin typeface="Times New Roman"/>
              </a:rPr>
              <a:t>Динамика удовлетворенности видами оказываемых услуг субъектами естественных монополий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Срок получения доступа</c:v>
                </c:pt>
              </c:strCache>
            </c:strRef>
          </c:tx>
          <c:spPr>
            <a:gradFill>
              <a:gsLst>
                <a:gs pos="0">
                  <a:srgbClr val="71A6DA"/>
                </a:gs>
                <a:gs pos="100000">
                  <a:srgbClr val="549ADA"/>
                </a:gs>
              </a:gsLst>
              <a:lin ang="5400000"/>
            </a:gra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FFFFFF"/>
                    </a:solidFill>
                    <a:latin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2"/>
                <c:pt idx="0">
                  <c:v>Водоснабжение (2023)</c:v>
                </c:pt>
                <c:pt idx="1">
                  <c:v>Водоснабжение (2024)</c:v>
                </c:pt>
                <c:pt idx="2">
                  <c:v>Водоотчистка (2023)</c:v>
                </c:pt>
                <c:pt idx="3">
                  <c:v>Водоотчистка (2024)</c:v>
                </c:pt>
                <c:pt idx="4">
                  <c:v>Газоснабжение (2023)</c:v>
                </c:pt>
                <c:pt idx="5">
                  <c:v>Газоснабжение (2024)</c:v>
                </c:pt>
                <c:pt idx="6">
                  <c:v>Электроснабжение (2023)</c:v>
                </c:pt>
                <c:pt idx="7">
                  <c:v>Электроснабжение (2024)</c:v>
                </c:pt>
                <c:pt idx="8">
                  <c:v>Теплоснабжение (2023)</c:v>
                </c:pt>
                <c:pt idx="9">
                  <c:v>Теплоснабжение (2024)</c:v>
                </c:pt>
                <c:pt idx="10">
                  <c:v>Связь и "Интернет" (2023)</c:v>
                </c:pt>
                <c:pt idx="11">
                  <c:v>Связь и "Интернет" (2024)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2"/>
                <c:pt idx="0">
                  <c:v>0.53200000000000003</c:v>
                </c:pt>
                <c:pt idx="1">
                  <c:v>0.504</c:v>
                </c:pt>
                <c:pt idx="2">
                  <c:v>0.52300000000000002</c:v>
                </c:pt>
                <c:pt idx="3">
                  <c:v>0.48899999999999999</c:v>
                </c:pt>
                <c:pt idx="4">
                  <c:v>0.505</c:v>
                </c:pt>
                <c:pt idx="5">
                  <c:v>0.46600000000000003</c:v>
                </c:pt>
                <c:pt idx="6">
                  <c:v>0.56799999999999995</c:v>
                </c:pt>
                <c:pt idx="7">
                  <c:v>0.504</c:v>
                </c:pt>
                <c:pt idx="8">
                  <c:v>0.504</c:v>
                </c:pt>
                <c:pt idx="9">
                  <c:v>0.46600000000000003</c:v>
                </c:pt>
                <c:pt idx="10">
                  <c:v>0.85599999999999998</c:v>
                </c:pt>
                <c:pt idx="11">
                  <c:v>0.79400000000000004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2A-4247-9C67-C5248E8766BD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Сложность (количество)процедур</c:v>
                </c:pt>
              </c:strCache>
            </c:strRef>
          </c:tx>
          <c:spPr>
            <a:gradFill>
              <a:gsLst>
                <a:gs pos="0">
                  <a:srgbClr val="F08C56"/>
                </a:gs>
                <a:gs pos="100000">
                  <a:srgbClr val="F57A27"/>
                </a:gs>
              </a:gsLst>
              <a:lin ang="5400000"/>
            </a:gra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FFFFFF"/>
                    </a:solidFill>
                    <a:latin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2"/>
                <c:pt idx="0">
                  <c:v>Водоснабжение (2023)</c:v>
                </c:pt>
                <c:pt idx="1">
                  <c:v>Водоснабжение (2024)</c:v>
                </c:pt>
                <c:pt idx="2">
                  <c:v>Водоотчистка (2023)</c:v>
                </c:pt>
                <c:pt idx="3">
                  <c:v>Водоотчистка (2024)</c:v>
                </c:pt>
                <c:pt idx="4">
                  <c:v>Газоснабжение (2023)</c:v>
                </c:pt>
                <c:pt idx="5">
                  <c:v>Газоснабжение (2024)</c:v>
                </c:pt>
                <c:pt idx="6">
                  <c:v>Электроснабжение (2023)</c:v>
                </c:pt>
                <c:pt idx="7">
                  <c:v>Электроснабжение (2024)</c:v>
                </c:pt>
                <c:pt idx="8">
                  <c:v>Теплоснабжение (2023)</c:v>
                </c:pt>
                <c:pt idx="9">
                  <c:v>Теплоснабжение (2024)</c:v>
                </c:pt>
                <c:pt idx="10">
                  <c:v>Связь и "Интернет" (2023)</c:v>
                </c:pt>
                <c:pt idx="11">
                  <c:v>Связь и "Интернет" (2024)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2"/>
                <c:pt idx="0">
                  <c:v>0.54100000000000004</c:v>
                </c:pt>
                <c:pt idx="1">
                  <c:v>0.53400000000000003</c:v>
                </c:pt>
                <c:pt idx="2">
                  <c:v>0.61300000000000099</c:v>
                </c:pt>
                <c:pt idx="3">
                  <c:v>0.59499999999999997</c:v>
                </c:pt>
                <c:pt idx="4">
                  <c:v>0.60400000000000098</c:v>
                </c:pt>
                <c:pt idx="5">
                  <c:v>0.61100000000000099</c:v>
                </c:pt>
                <c:pt idx="6">
                  <c:v>0.56699999999999995</c:v>
                </c:pt>
                <c:pt idx="7">
                  <c:v>0.57999999999999996</c:v>
                </c:pt>
                <c:pt idx="8">
                  <c:v>0.54100000000000004</c:v>
                </c:pt>
                <c:pt idx="9">
                  <c:v>0.56499999999999995</c:v>
                </c:pt>
                <c:pt idx="10">
                  <c:v>0.79300000000000004</c:v>
                </c:pt>
                <c:pt idx="11">
                  <c:v>0.72500000000000098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2A-4247-9C67-C5248E8766BD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Стоимость подключения</c:v>
                </c:pt>
              </c:strCache>
            </c:strRef>
          </c:tx>
          <c:spPr>
            <a:solidFill>
              <a:srgbClr val="FFFF00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2"/>
                <c:pt idx="0">
                  <c:v>Водоснабжение (2023)</c:v>
                </c:pt>
                <c:pt idx="1">
                  <c:v>Водоснабжение (2024)</c:v>
                </c:pt>
                <c:pt idx="2">
                  <c:v>Водоотчистка (2023)</c:v>
                </c:pt>
                <c:pt idx="3">
                  <c:v>Водоотчистка (2024)</c:v>
                </c:pt>
                <c:pt idx="4">
                  <c:v>Газоснабжение (2023)</c:v>
                </c:pt>
                <c:pt idx="5">
                  <c:v>Газоснабжение (2024)</c:v>
                </c:pt>
                <c:pt idx="6">
                  <c:v>Электроснабжение (2023)</c:v>
                </c:pt>
                <c:pt idx="7">
                  <c:v>Электроснабжение (2024)</c:v>
                </c:pt>
                <c:pt idx="8">
                  <c:v>Теплоснабжение (2023)</c:v>
                </c:pt>
                <c:pt idx="9">
                  <c:v>Теплоснабжение (2024)</c:v>
                </c:pt>
                <c:pt idx="10">
                  <c:v>Связь и "Интернет" (2023)</c:v>
                </c:pt>
                <c:pt idx="11">
                  <c:v>Связь и "Интернет" (2024)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2"/>
                <c:pt idx="0">
                  <c:v>0.45100000000000001</c:v>
                </c:pt>
                <c:pt idx="1">
                  <c:v>0.443</c:v>
                </c:pt>
                <c:pt idx="2">
                  <c:v>0.378</c:v>
                </c:pt>
                <c:pt idx="3">
                  <c:v>0.42699999999999999</c:v>
                </c:pt>
                <c:pt idx="4">
                  <c:v>0.51400000000000001</c:v>
                </c:pt>
                <c:pt idx="5">
                  <c:v>0.496</c:v>
                </c:pt>
                <c:pt idx="6">
                  <c:v>0.53200000000000003</c:v>
                </c:pt>
                <c:pt idx="7">
                  <c:v>0.48899999999999999</c:v>
                </c:pt>
                <c:pt idx="8">
                  <c:v>0.52300000000000002</c:v>
                </c:pt>
                <c:pt idx="9">
                  <c:v>0.504</c:v>
                </c:pt>
                <c:pt idx="10">
                  <c:v>0.83799999999999997</c:v>
                </c:pt>
                <c:pt idx="11">
                  <c:v>0.77900000000000102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2A-4247-9C67-C5248E8766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24217479"/>
        <c:axId val="77996769"/>
      </c:barChart>
      <c:catAx>
        <c:axId val="24217479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77996769"/>
        <c:crosses val="autoZero"/>
        <c:auto val="1"/>
        <c:lblAlgn val="ctr"/>
        <c:lblOffset val="100"/>
        <c:noMultiLvlLbl val="0"/>
      </c:catAx>
      <c:valAx>
        <c:axId val="77996769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4217479"/>
        <c:crosses val="autoZero"/>
        <c:crossBetween val="between"/>
      </c:valAx>
      <c:spPr>
        <a:noFill/>
        <a:ln w="0">
          <a:noFill/>
        </a:ln>
      </c:spPr>
    </c:plotArea>
    <c:legend>
      <c:legendPos val="t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view3D>
      <c:rotX val="15"/>
      <c:rotY val="20"/>
      <c:rAngAx val="0"/>
    </c:view3D>
    <c:floor>
      <c:thickness val="0"/>
      <c:spPr>
        <a:noFill/>
        <a:ln w="6480">
          <a:solidFill>
            <a:srgbClr val="8B8B8B"/>
          </a:solidFill>
          <a:round/>
        </a:ln>
      </c:spPr>
    </c:floor>
    <c:sideWall>
      <c:thickness val="0"/>
      <c:spPr>
        <a:noFill/>
        <a:ln w="25560">
          <a:noFill/>
        </a:ln>
      </c:spPr>
    </c:sideWall>
    <c:backWall>
      <c:thickness val="0"/>
      <c:spPr>
        <a:noFill/>
        <a:ln w="25560">
          <a:noFill/>
        </a:ln>
      </c:spPr>
    </c:backWall>
    <c:plotArea>
      <c:layout>
        <c:manualLayout>
          <c:layoutTarget val="inner"/>
          <c:xMode val="edge"/>
          <c:yMode val="edge"/>
          <c:x val="9.5125000000000001E-2"/>
          <c:y val="5.7555555555555603E-2"/>
          <c:w val="0.71062499999999995"/>
          <c:h val="0.52577777777777801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уровень доступности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неудовлетворительнон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0.40500000000000003</c:v>
                </c:pt>
                <c:pt idx="1">
                  <c:v>0.51100000000000001</c:v>
                </c:pt>
                <c:pt idx="2">
                  <c:v>5.2999999999999999E-2</c:v>
                </c:pt>
                <c:pt idx="3">
                  <c:v>3.1E-2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E4-4E03-B899-65AAF346C487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уровень понятности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неудовлетворительнон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0.48099999999999998</c:v>
                </c:pt>
                <c:pt idx="1">
                  <c:v>0.45</c:v>
                </c:pt>
                <c:pt idx="2">
                  <c:v>5.3999999999999999E-2</c:v>
                </c:pt>
                <c:pt idx="3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E4-4E03-B899-65AAF346C487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удобство получения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неудовлетворительнон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0.38200000000000001</c:v>
                </c:pt>
                <c:pt idx="1">
                  <c:v>0.56499999999999995</c:v>
                </c:pt>
                <c:pt idx="2">
                  <c:v>5.2999999999999999E-2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E4-4E03-B899-65AAF346C4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103264"/>
        <c:axId val="53051836"/>
        <c:axId val="0"/>
      </c:bar3DChart>
      <c:catAx>
        <c:axId val="26103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53051836"/>
        <c:crosses val="autoZero"/>
        <c:auto val="1"/>
        <c:lblAlgn val="ctr"/>
        <c:lblOffset val="100"/>
        <c:noMultiLvlLbl val="0"/>
      </c:catAx>
      <c:valAx>
        <c:axId val="53051836"/>
        <c:scaling>
          <c:orientation val="minMax"/>
        </c:scaling>
        <c:delete val="1"/>
        <c:axPos val="l"/>
        <c:majorGridlines>
          <c:spPr>
            <a:ln w="6480">
              <a:solidFill>
                <a:srgbClr val="5B9BD5"/>
              </a:solidFill>
              <a:round/>
            </a:ln>
          </c:spPr>
        </c:majorGridlines>
        <c:numFmt formatCode="0%" sourceLinked="1"/>
        <c:majorTickMark val="out"/>
        <c:minorTickMark val="none"/>
        <c:tickLblPos val="nextTo"/>
        <c:crossAx val="26103264"/>
        <c:crosses val="autoZero"/>
        <c:crossBetween val="between"/>
      </c:valAx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1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100" b="1" strike="noStrike" spc="-1">
                <a:solidFill>
                  <a:srgbClr val="000000"/>
                </a:solidFill>
                <a:latin typeface="Times New Roman"/>
              </a:rPr>
              <a:t>Мониторинг удовлетворенности деятельностью  
финансовых организаций по предоставлению финансовых услуг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Стоимость</c:v>
                </c:pt>
              </c:strCache>
            </c:strRef>
          </c:tx>
          <c:spPr>
            <a:solidFill>
              <a:srgbClr val="0070C0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FFFFFF"/>
                    </a:solidFill>
                    <a:latin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7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кооперативы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0.55800000000000005</c:v>
                </c:pt>
                <c:pt idx="1">
                  <c:v>0.41</c:v>
                </c:pt>
                <c:pt idx="2">
                  <c:v>0.39</c:v>
                </c:pt>
                <c:pt idx="3">
                  <c:v>0.40500000000000003</c:v>
                </c:pt>
                <c:pt idx="4">
                  <c:v>0.41199999999999998</c:v>
                </c:pt>
                <c:pt idx="5">
                  <c:v>0.435</c:v>
                </c:pt>
                <c:pt idx="6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35-422E-A1A3-CF81A9CD9356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0000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7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кооперативы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0.76300000000000001</c:v>
                </c:pt>
                <c:pt idx="1">
                  <c:v>0.53400000000000003</c:v>
                </c:pt>
                <c:pt idx="2">
                  <c:v>0.496</c:v>
                </c:pt>
                <c:pt idx="3">
                  <c:v>0.435</c:v>
                </c:pt>
                <c:pt idx="4">
                  <c:v>0.54200000000000004</c:v>
                </c:pt>
                <c:pt idx="5">
                  <c:v>0.55000000000000004</c:v>
                </c:pt>
                <c:pt idx="6">
                  <c:v>0.60299999999999998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35-422E-A1A3-CF81A9CD9356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Доступность</c:v>
                </c:pt>
              </c:strCache>
            </c:strRef>
          </c:tx>
          <c:spPr>
            <a:solidFill>
              <a:srgbClr val="FFFF00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7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кооперативы</c:v>
                </c:pt>
                <c:pt idx="3">
                  <c:v>Ломбарды</c:v>
                </c:pt>
                <c:pt idx="4">
                  <c:v>Субъекты страхового дела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7"/>
                <c:pt idx="0">
                  <c:v>0.71</c:v>
                </c:pt>
                <c:pt idx="1">
                  <c:v>0.32100000000000001</c:v>
                </c:pt>
                <c:pt idx="2">
                  <c:v>0.39700000000000002</c:v>
                </c:pt>
                <c:pt idx="3">
                  <c:v>0.39</c:v>
                </c:pt>
                <c:pt idx="4">
                  <c:v>0.61799999999999999</c:v>
                </c:pt>
                <c:pt idx="5">
                  <c:v>0.48099999999999998</c:v>
                </c:pt>
                <c:pt idx="6">
                  <c:v>0.48799999999999999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35-422E-A1A3-CF81A9CD93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22113856"/>
        <c:axId val="82901652"/>
      </c:barChart>
      <c:catAx>
        <c:axId val="221138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82901652"/>
        <c:crosses val="autoZero"/>
        <c:auto val="1"/>
        <c:lblAlgn val="ctr"/>
        <c:lblOffset val="100"/>
        <c:noMultiLvlLbl val="0"/>
      </c:catAx>
      <c:valAx>
        <c:axId val="829016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113856"/>
        <c:crosses val="autoZero"/>
        <c:crossBetween val="between"/>
      </c:valAx>
      <c:spPr>
        <a:noFill/>
        <a:ln w="25560">
          <a:noFill/>
        </a:ln>
      </c:spPr>
    </c:plotArea>
    <c:legend>
      <c:legendPos val="t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1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100" b="1" strike="noStrike" spc="-1">
                <a:solidFill>
                  <a:srgbClr val="000000"/>
                </a:solidFill>
                <a:latin typeface="Times New Roman"/>
              </a:rPr>
              <a:t>Количества опрошенных  субъектов МСП с учетом их сферы деятельности</a:t>
            </a:r>
          </a:p>
        </c:rich>
      </c:tx>
      <c:layout/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7412500000000001"/>
          <c:y val="0.28033333333333299"/>
          <c:w val="0.70706250000000004"/>
          <c:h val="0.6641111111111109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00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Работающий</c:v>
                </c:pt>
                <c:pt idx="1">
                  <c:v>Учащийся/студент</c:v>
                </c:pt>
                <c:pt idx="2">
                  <c:v>Домохозяйка, пенсионер</c:v>
                </c:pt>
                <c:pt idx="3">
                  <c:v>ИП, самозанятый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0.64600000000000102</c:v>
                </c:pt>
                <c:pt idx="1">
                  <c:v>4.1000000000000002E-2</c:v>
                </c:pt>
                <c:pt idx="2">
                  <c:v>2.8000000000000001E-2</c:v>
                </c:pt>
                <c:pt idx="3">
                  <c:v>0.28499999999999998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82-4CC0-AC7C-E30C1E007F0D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Работающий</c:v>
                </c:pt>
                <c:pt idx="1">
                  <c:v>Учащийся/студент</c:v>
                </c:pt>
                <c:pt idx="2">
                  <c:v>Домохозяйка, пенсионер</c:v>
                </c:pt>
                <c:pt idx="3">
                  <c:v>ИП, самозанятый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0.61100000000000099</c:v>
                </c:pt>
                <c:pt idx="1">
                  <c:v>4.1000000000000002E-2</c:v>
                </c:pt>
                <c:pt idx="2">
                  <c:v>3.1E-2</c:v>
                </c:pt>
                <c:pt idx="3">
                  <c:v>0.317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82-4CC0-AC7C-E30C1E007F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991436"/>
        <c:axId val="55151323"/>
      </c:barChart>
      <c:catAx>
        <c:axId val="709914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5151323"/>
        <c:crosses val="autoZero"/>
        <c:auto val="1"/>
        <c:lblAlgn val="ctr"/>
        <c:lblOffset val="100"/>
        <c:noMultiLvlLbl val="0"/>
      </c:catAx>
      <c:valAx>
        <c:axId val="5515132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70991436"/>
        <c:crosses val="autoZero"/>
        <c:crossBetween val="between"/>
      </c:valAx>
      <c:spPr>
        <a:noFill/>
        <a:ln w="0">
          <a:noFill/>
        </a:ln>
      </c:spPr>
    </c:plotArea>
    <c:legend>
      <c:legendPos val="t"/>
      <c:layout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0.40799999999999997"/>
          <c:y val="1.96666666666667E-2"/>
          <c:w val="0.311"/>
          <c:h val="0.9223333333333330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Имеется сейчас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7B32-4A92-9FE1-F212C956942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7B32-4A92-9FE1-F212C956942C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7B32-4A92-9FE1-F212C956942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0</a:t>
                    </a:r>
                  </a:p>
                </c:rich>
              </c:tx>
              <c:spPr/>
              <c:dLblPos val="ctr"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32-4A92-9FE1-F212C956942C}"/>
                </c:ext>
              </c:extLst>
            </c:dLbl>
            <c:dLbl>
              <c:idx val="2"/>
              <c:layout>
                <c:manualLayout>
                  <c:x val="4.07913522333265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29,5     </a:t>
                    </a:r>
                  </a:p>
                </c:rich>
              </c:tx>
              <c:spPr/>
              <c:dLblPos val="ctr"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32-4A92-9FE1-F212C956942C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30,4</a:t>
                    </a:r>
                  </a:p>
                </c:rich>
              </c:tx>
              <c:spPr/>
              <c:dLblPos val="ctr"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32-4A92-9FE1-F212C956942C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categories</c:f>
              <c:strCache>
                <c:ptCount val="8"/>
                <c:pt idx="0">
                  <c:v>Вложение средств в паевой инвестиционный фонд</c:v>
                </c:pt>
                <c:pt idx="1">
                  <c:v>Брокерский счет</c:v>
                </c:pt>
                <c:pt idx="2">
                  <c:v>Инвестиционное страхование жизни</c:v>
                </c:pt>
                <c:pt idx="3">
                  <c:v>Индивидуальный инвестиционный счет</c:v>
                </c:pt>
                <c:pt idx="4">
                  <c:v>Договаор на размещение средств в форме займа в С/Х кредитном потребительском кооперативе</c:v>
                </c:pt>
                <c:pt idx="5">
                  <c:v>Договор на размещение средств в форме займа в кредитном потребительском кооперативе</c:v>
                </c:pt>
                <c:pt idx="6">
                  <c:v>Договор на размещение средств в форме займа в микрофинансовой организации</c:v>
                </c:pt>
                <c:pt idx="7">
                  <c:v>Банковский вклад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30.8</c:v>
                </c:pt>
                <c:pt idx="1">
                  <c:v>0</c:v>
                </c:pt>
                <c:pt idx="2">
                  <c:v>31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32-4A92-9FE1-F212C956942C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Не имеется сейчас, но пользовались за последние 12 мес.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7B32-4A92-9FE1-F212C956942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7B32-4A92-9FE1-F212C956942C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7B32-4A92-9FE1-F212C956942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0</a:t>
                    </a:r>
                  </a:p>
                </c:rich>
              </c:tx>
              <c:spPr/>
              <c:dLblPos val="ctr"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B32-4A92-9FE1-F212C956942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17,4</a:t>
                    </a:r>
                  </a:p>
                </c:rich>
              </c:tx>
              <c:spPr/>
              <c:dLblPos val="ctr"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B32-4A92-9FE1-F212C956942C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29,7</a:t>
                    </a:r>
                  </a:p>
                </c:rich>
              </c:tx>
              <c:spPr/>
              <c:dLblPos val="ctr"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B32-4A92-9FE1-F212C956942C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categories</c:f>
              <c:strCache>
                <c:ptCount val="8"/>
                <c:pt idx="0">
                  <c:v>Вложение средств в паевой инвестиционный фонд</c:v>
                </c:pt>
                <c:pt idx="1">
                  <c:v>Брокерский счет</c:v>
                </c:pt>
                <c:pt idx="2">
                  <c:v>Инвестиционное страхование жизни</c:v>
                </c:pt>
                <c:pt idx="3">
                  <c:v>Индивидуальный инвестиционный счет</c:v>
                </c:pt>
                <c:pt idx="4">
                  <c:v>Договаор на размещение средств в форме займа в С/Х кредитном потребительском кооперативе</c:v>
                </c:pt>
                <c:pt idx="5">
                  <c:v>Договор на размещение средств в форме займа в кредитном потребительском кооперативе</c:v>
                </c:pt>
                <c:pt idx="6">
                  <c:v>Договор на размещение средств в форме займа в микрофинансовой организации</c:v>
                </c:pt>
                <c:pt idx="7">
                  <c:v>Банковский вклад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8"/>
                <c:pt idx="0">
                  <c:v>30</c:v>
                </c:pt>
                <c:pt idx="1">
                  <c:v>0</c:v>
                </c:pt>
                <c:pt idx="2">
                  <c:v>17.7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B32-4A92-9FE1-F212C956942C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Не использовался в течении последних 12 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7B32-4A92-9FE1-F212C956942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7B32-4A92-9FE1-F212C956942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7B32-4A92-9FE1-F212C956942C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7B32-4A92-9FE1-F212C956942C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7B32-4A92-9FE1-F212C956942C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7B32-4A92-9FE1-F212C956942C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7B32-4A92-9FE1-F212C956942C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7B32-4A92-9FE1-F212C956942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100,0</a:t>
                    </a:r>
                  </a:p>
                </c:rich>
              </c:tx>
              <c:spPr/>
              <c:dLblPos val="ctr"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B32-4A92-9FE1-F212C956942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100,0</a:t>
                    </a:r>
                  </a:p>
                </c:rich>
              </c:tx>
              <c:spPr/>
              <c:dLblPos val="ctr"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B32-4A92-9FE1-F212C956942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53,1</a:t>
                    </a:r>
                  </a:p>
                </c:rich>
              </c:tx>
              <c:spPr/>
              <c:dLblPos val="ctr"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B32-4A92-9FE1-F212C956942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100,0</a:t>
                    </a:r>
                  </a:p>
                </c:rich>
              </c:tx>
              <c:spPr/>
              <c:dLblPos val="ctr"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B32-4A92-9FE1-F212C956942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100,0</a:t>
                    </a:r>
                  </a:p>
                </c:rich>
              </c:tx>
              <c:spPr/>
              <c:dLblPos val="ctr"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B32-4A92-9FE1-F212C956942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100,0</a:t>
                    </a:r>
                  </a:p>
                </c:rich>
              </c:tx>
              <c:spPr/>
              <c:dLblPos val="ctr"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7B32-4A92-9FE1-F212C956942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100,0</a:t>
                    </a:r>
                  </a:p>
                </c:rich>
              </c:tx>
              <c:spPr/>
              <c:dLblPos val="ctr"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7B32-4A92-9FE1-F212C956942C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39,9</a:t>
                    </a:r>
                  </a:p>
                </c:rich>
              </c:tx>
              <c:spPr/>
              <c:dLblPos val="ctr"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7B32-4A92-9FE1-F212C956942C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8"/>
                <c:pt idx="0">
                  <c:v>Вложение средств в паевой инвестиционный фонд</c:v>
                </c:pt>
                <c:pt idx="1">
                  <c:v>Брокерский счет</c:v>
                </c:pt>
                <c:pt idx="2">
                  <c:v>Инвестиционное страхование жизни</c:v>
                </c:pt>
                <c:pt idx="3">
                  <c:v>Индивидуальный инвестиционный счет</c:v>
                </c:pt>
                <c:pt idx="4">
                  <c:v>Договаор на размещение средств в форме займа в С/Х кредитном потребительском кооперативе</c:v>
                </c:pt>
                <c:pt idx="5">
                  <c:v>Договор на размещение средств в форме займа в кредитном потребительском кооперативе</c:v>
                </c:pt>
                <c:pt idx="6">
                  <c:v>Договор на размещение средств в форме займа в микрофинансовой организации</c:v>
                </c:pt>
                <c:pt idx="7">
                  <c:v>Банковский вклад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8"/>
                <c:pt idx="0">
                  <c:v>39.200000000000003</c:v>
                </c:pt>
                <c:pt idx="1">
                  <c:v>100</c:v>
                </c:pt>
                <c:pt idx="2">
                  <c:v>51.3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39.200000000000003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7B32-4A92-9FE1-F212C95694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56564538"/>
        <c:axId val="88968823"/>
      </c:barChart>
      <c:catAx>
        <c:axId val="56564538"/>
        <c:scaling>
          <c:orientation val="minMax"/>
        </c:scaling>
        <c:delete val="0"/>
        <c:axPos val="l"/>
        <c:numFmt formatCode="[$-419]dd/mm/yyyy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sz="9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88968823"/>
        <c:crosses val="autoZero"/>
        <c:auto val="1"/>
        <c:lblAlgn val="ctr"/>
        <c:lblOffset val="100"/>
        <c:noMultiLvlLbl val="0"/>
      </c:catAx>
      <c:valAx>
        <c:axId val="88968823"/>
        <c:scaling>
          <c:orientation val="minMax"/>
        </c:scaling>
        <c:delete val="0"/>
        <c:axPos val="b"/>
        <c:majorGridlines>
          <c:spPr>
            <a:ln w="0">
              <a:solidFill>
                <a:srgbClr val="B3B3B3"/>
              </a:solidFill>
            </a:ln>
          </c:spPr>
        </c:majorGridlines>
        <c:numFmt formatCode="[$-419]0%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Arial"/>
              </a:defRPr>
            </a:pPr>
            <a:endParaRPr lang="ru-RU"/>
          </a:p>
        </c:txPr>
        <c:crossAx val="56564538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layout>
        <c:manualLayout>
          <c:xMode val="edge"/>
          <c:yMode val="edge"/>
          <c:x val="0.74075000000000002"/>
          <c:y val="3.8888888888888903E-2"/>
          <c:w val="0.24276517282330101"/>
          <c:h val="0.280586731859095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noFill/>
    <a:ln w="0">
      <a:noFill/>
    </a:ln>
  </c:spPr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view3D>
      <c:rotX val="15"/>
      <c:rotY val="20"/>
      <c:rAngAx val="1"/>
    </c:view3D>
    <c:floor>
      <c:thickness val="0"/>
      <c:spPr>
        <a:noFill/>
        <a:ln w="6480">
          <a:solidFill>
            <a:srgbClr val="8B8B8B"/>
          </a:solidFill>
          <a:round/>
        </a:ln>
      </c:spPr>
    </c:floor>
    <c:sideWall>
      <c:thickness val="0"/>
      <c:spPr>
        <a:noFill/>
        <a:ln w="6480">
          <a:solidFill>
            <a:srgbClr val="8497B0"/>
          </a:solidFill>
          <a:round/>
        </a:ln>
      </c:spPr>
    </c:sideWall>
    <c:backWall>
      <c:thickness val="0"/>
      <c:spPr>
        <a:noFill/>
        <a:ln w="6480">
          <a:solidFill>
            <a:srgbClr val="8497B0"/>
          </a:solidFill>
          <a:round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имеется сейчас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Зарплатная карта</c:v>
                </c:pt>
                <c:pt idx="1">
                  <c:v>Расчетная(дебетовая) карта</c:v>
                </c:pt>
                <c:pt idx="2">
                  <c:v>Другая расчетная (дебетовая) карта</c:v>
                </c:pt>
                <c:pt idx="3">
                  <c:v>Кредитная карта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0.76100000000000001</c:v>
                </c:pt>
                <c:pt idx="1">
                  <c:v>8.5000000000000006E-2</c:v>
                </c:pt>
                <c:pt idx="2">
                  <c:v>0.22700000000000001</c:v>
                </c:pt>
                <c:pt idx="3">
                  <c:v>0.34100000000000003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F2-453F-8DA2-EF21BB14CCA5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не имеется сейчас, но пользовался за последние 12 мес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Зарплатная карта</c:v>
                </c:pt>
                <c:pt idx="1">
                  <c:v>Расчетная(дебетовая) карта</c:v>
                </c:pt>
                <c:pt idx="2">
                  <c:v>Другая расчетная (дебетовая) карта</c:v>
                </c:pt>
                <c:pt idx="3">
                  <c:v>Кредитная карта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3.1E-2</c:v>
                </c:pt>
                <c:pt idx="1">
                  <c:v>0</c:v>
                </c:pt>
                <c:pt idx="2">
                  <c:v>0.14799999999999999</c:v>
                </c:pt>
                <c:pt idx="3">
                  <c:v>0.109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F2-453F-8DA2-EF21BB14CCA5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не пользовался за последние 12 мес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Зарплатная карта</c:v>
                </c:pt>
                <c:pt idx="1">
                  <c:v>Расчетная(дебетовая) карта</c:v>
                </c:pt>
                <c:pt idx="2">
                  <c:v>Другая расчетная (дебетовая) карта</c:v>
                </c:pt>
                <c:pt idx="3">
                  <c:v>Кредитная карта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0.20799999999999999</c:v>
                </c:pt>
                <c:pt idx="1">
                  <c:v>0.91500000000000004</c:v>
                </c:pt>
                <c:pt idx="2">
                  <c:v>0.625</c:v>
                </c:pt>
                <c:pt idx="3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F2-453F-8DA2-EF21BB14CC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831476"/>
        <c:axId val="55751326"/>
        <c:axId val="0"/>
      </c:bar3DChart>
      <c:catAx>
        <c:axId val="838314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55751326"/>
        <c:crosses val="autoZero"/>
        <c:auto val="1"/>
        <c:lblAlgn val="ctr"/>
        <c:lblOffset val="100"/>
        <c:noMultiLvlLbl val="0"/>
      </c:catAx>
      <c:valAx>
        <c:axId val="55751326"/>
        <c:scaling>
          <c:orientation val="minMax"/>
        </c:scaling>
        <c:delete val="0"/>
        <c:axPos val="b"/>
        <c:majorGridlines>
          <c:spPr>
            <a:ln w="6480">
              <a:solidFill>
                <a:srgbClr val="8B8B8B"/>
              </a:solidFill>
              <a:round/>
            </a:ln>
          </c:spPr>
        </c:majorGridlines>
        <c:numFmt formatCode="0.0%" sourceLinked="0"/>
        <c:majorTickMark val="out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83831476"/>
        <c:crosses val="autoZero"/>
        <c:crossBetween val="between"/>
      </c:valAx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view3D>
      <c:rotX val="11"/>
      <c:rotY val="25"/>
      <c:rAngAx val="1"/>
    </c:view3D>
    <c:floor>
      <c:thickness val="0"/>
      <c:spPr>
        <a:solidFill>
          <a:srgbClr val="CCCCCC"/>
        </a:solidFill>
        <a:ln w="0">
          <a:noFill/>
        </a:ln>
      </c:spPr>
    </c:floor>
    <c:sideWall>
      <c:thickness val="0"/>
      <c:spPr>
        <a:noFill/>
        <a:ln w="0">
          <a:solidFill>
            <a:srgbClr val="B3B3B3"/>
          </a:solidFill>
        </a:ln>
      </c:spPr>
    </c:sideWall>
    <c:backWall>
      <c:thickness val="0"/>
      <c:spPr>
        <a:noFill/>
        <a:ln w="0">
          <a:solidFill>
            <a:srgbClr val="B3B3B3"/>
          </a:solidFill>
        </a:ln>
      </c:spPr>
    </c:backWall>
    <c:plotArea>
      <c:layout>
        <c:manualLayout>
          <c:layoutTarget val="inner"/>
          <c:xMode val="edge"/>
          <c:yMode val="edge"/>
          <c:x val="0.51400000000000001"/>
          <c:y val="7.8E-2"/>
          <c:w val="0.43056250000000001"/>
          <c:h val="0.8417777777777779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Нет, не пользовался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D66-41FA-85E2-938D857F4A5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4D66-41FA-85E2-938D857F4A51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4D66-41FA-85E2-938D857F4A51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4D66-41FA-85E2-938D857F4A5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29,2%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66-41FA-85E2-938D857F4A5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2,2%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66-41FA-85E2-938D857F4A5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76,1%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66-41FA-85E2-938D857F4A5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37,0%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66-41FA-85E2-938D857F4A51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Денежные переводы/платежи через интернет-банк с помощью ПК</c:v>
                </c:pt>
                <c:pt idx="1">
                  <c:v>Денежные переводы/платежи через интернет-банк с помощью плпншета/смартфона через браузер</c:v>
                </c:pt>
                <c:pt idx="2">
                  <c:v>Денежные переводы/платежи через мобильный банк с помощью приложения для смартфона/планшета</c:v>
                </c:pt>
                <c:pt idx="3">
                  <c:v>Денежные переводы/платежи через мобильный банк посредством смс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38.200000000000003</c:v>
                </c:pt>
                <c:pt idx="1">
                  <c:v>23</c:v>
                </c:pt>
                <c:pt idx="2">
                  <c:v>98.4</c:v>
                </c:pt>
                <c:pt idx="3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D66-41FA-85E2-938D857F4A51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Да, пользовался</c:v>
                </c:pt>
              </c:strCache>
            </c:strRef>
          </c:tx>
          <c:spPr>
            <a:solidFill>
              <a:srgbClr val="99CCFF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4D66-41FA-85E2-938D857F4A5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4D66-41FA-85E2-938D857F4A51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4D66-41FA-85E2-938D857F4A51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4D66-41FA-85E2-938D857F4A5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70,8%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D66-41FA-85E2-938D857F4A5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97,8%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D66-41FA-85E2-938D857F4A5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123,9%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D66-41FA-85E2-938D857F4A5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63,0%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D66-41FA-85E2-938D857F4A51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Денежные переводы/платежи через интернет-банк с помощью ПК</c:v>
                </c:pt>
                <c:pt idx="1">
                  <c:v>Денежные переводы/платежи через интернет-банк с помощью плпншета/смартфона через браузер</c:v>
                </c:pt>
                <c:pt idx="2">
                  <c:v>Денежные переводы/платежи через мобильный банк с помощью приложения для смартфона/планшета</c:v>
                </c:pt>
                <c:pt idx="3">
                  <c:v>Денежные переводы/платежи через мобильный банк посредством смс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61.8</c:v>
                </c:pt>
                <c:pt idx="1">
                  <c:v>77</c:v>
                </c:pt>
                <c:pt idx="2">
                  <c:v>1.6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4D66-41FA-85E2-938D857F4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15449493"/>
        <c:axId val="11821634"/>
        <c:axId val="0"/>
      </c:bar3DChart>
      <c:catAx>
        <c:axId val="15449493"/>
        <c:scaling>
          <c:orientation val="minMax"/>
        </c:scaling>
        <c:delete val="0"/>
        <c:axPos val="l"/>
        <c:numFmt formatCode="[$-419]dd/mm/yyyy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sz="9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11821634"/>
        <c:crosses val="autoZero"/>
        <c:auto val="1"/>
        <c:lblAlgn val="ctr"/>
        <c:lblOffset val="100"/>
        <c:noMultiLvlLbl val="0"/>
      </c:catAx>
      <c:valAx>
        <c:axId val="11821634"/>
        <c:scaling>
          <c:orientation val="minMax"/>
        </c:scaling>
        <c:delete val="0"/>
        <c:axPos val="b"/>
        <c:majorGridlines>
          <c:spPr>
            <a:ln w="0"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Arial"/>
              </a:defRPr>
            </a:pPr>
            <a:endParaRPr lang="ru-RU"/>
          </a:p>
        </c:txPr>
        <c:crossAx val="15449493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4874999999999999E-2"/>
          <c:y val="0.85966666666666702"/>
          <c:w val="0.24239014938433701"/>
          <c:h val="0.139793310367819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noFill/>
    <a:ln w="0">
      <a:noFill/>
    </a:ln>
  </c:spPr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view3D>
      <c:rotX val="11"/>
      <c:rotY val="25"/>
      <c:rAngAx val="1"/>
    </c:view3D>
    <c:floor>
      <c:thickness val="0"/>
      <c:spPr>
        <a:solidFill>
          <a:srgbClr val="CCCCCC"/>
        </a:solidFill>
        <a:ln w="0">
          <a:noFill/>
        </a:ln>
      </c:spPr>
    </c:floor>
    <c:sideWall>
      <c:thickness val="0"/>
      <c:spPr>
        <a:noFill/>
        <a:ln w="0">
          <a:solidFill>
            <a:srgbClr val="B3B3B3"/>
          </a:solidFill>
        </a:ln>
      </c:spPr>
    </c:sideWall>
    <c:backWall>
      <c:thickness val="0"/>
      <c:spPr>
        <a:noFill/>
        <a:ln w="0">
          <a:solidFill>
            <a:srgbClr val="B3B3B3"/>
          </a:solidFill>
        </a:ln>
      </c:spPr>
    </c:backWall>
    <c:plotArea>
      <c:layout>
        <c:manualLayout>
          <c:layoutTarget val="inner"/>
          <c:xMode val="edge"/>
          <c:yMode val="edge"/>
          <c:x val="0.314"/>
          <c:y val="2.4666666666666701E-2"/>
          <c:w val="0.39368750000000002"/>
          <c:h val="0.87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Не использовался за последние 12 месяцев</c:v>
                </c:pt>
              </c:strCache>
            </c:strRef>
          </c:tx>
          <c:spPr>
            <a:solidFill>
              <a:srgbClr val="AECF00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142-4486-977C-41CAED57BCF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142-4486-977C-41CAED57BCF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30,2%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42-4486-977C-41CAED57BCF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40,4%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42-4486-977C-41CAED57BCFB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Добровольное стрвхование жизни на случай смерти/дожития до определенного возвраста, в том числе пенсионное страхование</c:v>
                </c:pt>
                <c:pt idx="1">
                  <c:v>Другое добровольное страхование, кроме страхования жизни, в том числе обязательное медецинское образование </c:v>
                </c:pt>
                <c:pt idx="2">
                  <c:v>Другое обязательное страхование, кроме обязательного медецинского, в том числе ОСАГО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30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142-4486-977C-41CAED57BCFB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Не имеется сейчас, но использовался за последние 12 месяцев</c:v>
                </c:pt>
              </c:strCache>
            </c:strRef>
          </c:tx>
          <c:spPr>
            <a:solidFill>
              <a:srgbClr val="579D1C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0142-4486-977C-41CAED57BCF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0142-4486-977C-41CAED57BCF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2,2%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142-4486-977C-41CAED57BCF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5,3%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142-4486-977C-41CAED57BCFB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Добровольное стрвхование жизни на случай смерти/дожития до определенного возвраста, в том числе пенсионное страхование</c:v>
                </c:pt>
                <c:pt idx="1">
                  <c:v>Другое добровольное страхование, кроме страхования жизни, в том числе обязательное медецинское образование </c:v>
                </c:pt>
                <c:pt idx="2">
                  <c:v>Другое обязательное страхование, кроме обязательного медецинского, в том числе ОСАГО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142-4486-977C-41CAED57BCFB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Имеется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142-4486-977C-41CAED57BCF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0142-4486-977C-41CAED57BCF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0142-4486-977C-41CAED57BCF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67,6%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142-4486-977C-41CAED57BCF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100,0%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142-4486-977C-41CAED57BCF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 b="0" strike="noStrike" spc="-1">
                        <a:solidFill>
                          <a:srgbClr val="000000"/>
                        </a:solidFill>
                        <a:latin typeface="Arial"/>
                      </a:rPr>
                      <a:t>54,3%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1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142-4486-977C-41CAED57BCFB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Добровольное стрвхование жизни на случай смерти/дожития до определенного возвраста, в том числе пенсионное страхование</c:v>
                </c:pt>
                <c:pt idx="1">
                  <c:v>Другое добровольное страхование, кроме страхования жизни, в том числе обязательное медецинское образование </c:v>
                </c:pt>
                <c:pt idx="2">
                  <c:v>Другое обязательное страхование, кроме обязательного медецинского, в том числе ОСАГО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70</c:v>
                </c:pt>
                <c:pt idx="1">
                  <c:v>100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142-4486-977C-41CAED57BC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48728789"/>
        <c:axId val="78964339"/>
        <c:axId val="0"/>
      </c:bar3DChart>
      <c:catAx>
        <c:axId val="48728789"/>
        <c:scaling>
          <c:orientation val="minMax"/>
        </c:scaling>
        <c:delete val="0"/>
        <c:axPos val="l"/>
        <c:numFmt formatCode="[$-419]dd/mm/yyyy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sz="9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78964339"/>
        <c:crosses val="autoZero"/>
        <c:auto val="1"/>
        <c:lblAlgn val="ctr"/>
        <c:lblOffset val="100"/>
        <c:noMultiLvlLbl val="0"/>
      </c:catAx>
      <c:valAx>
        <c:axId val="78964339"/>
        <c:scaling>
          <c:orientation val="minMax"/>
        </c:scaling>
        <c:delete val="0"/>
        <c:axPos val="b"/>
        <c:majorGridlines>
          <c:spPr>
            <a:ln w="0"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Arial"/>
              </a:defRPr>
            </a:pPr>
            <a:endParaRPr lang="ru-RU"/>
          </a:p>
        </c:txPr>
        <c:crossAx val="48728789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568750000000003"/>
          <c:y val="4.0444444444444401E-2"/>
          <c:w val="0.27107944246515397"/>
          <c:h val="0.399599955550617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noFill/>
    <a:ln w="0">
      <a:noFill/>
    </a:ln>
  </c:spPr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view3D>
      <c:rotX val="15"/>
      <c:rotY val="20"/>
      <c:rAngAx val="1"/>
    </c:view3D>
    <c:floor>
      <c:thickness val="0"/>
      <c:spPr>
        <a:noFill/>
        <a:ln w="6480">
          <a:solidFill>
            <a:srgbClr val="8B8B8B"/>
          </a:solidFill>
          <a:round/>
        </a:ln>
      </c:spPr>
    </c:floor>
    <c:sideWall>
      <c:thickness val="0"/>
      <c:spPr>
        <a:noFill/>
        <a:ln w="6480">
          <a:solidFill>
            <a:srgbClr val="8B8B8B"/>
          </a:solidFill>
          <a:round/>
        </a:ln>
      </c:spPr>
    </c:sideWall>
    <c:backWall>
      <c:thickness val="0"/>
      <c:spPr>
        <a:noFill/>
        <a:ln w="6480">
          <a:solidFill>
            <a:srgbClr val="8B8B8B"/>
          </a:solidFill>
          <a:round/>
        </a:ln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9"/>
                <c:pt idx="0">
                  <c:v>Кредиты</c:v>
                </c:pt>
                <c:pt idx="1">
                  <c:v>Вклады</c:v>
                </c:pt>
                <c:pt idx="2">
                  <c:v>Расчетные дебетовые карты, включая зарплатные</c:v>
                </c:pt>
                <c:pt idx="3">
                  <c:v>Кредитные карты</c:v>
                </c:pt>
                <c:pt idx="4">
                  <c:v>Переводы и платежи</c:v>
                </c:pt>
                <c:pt idx="5">
                  <c:v>Займы в микрофин.организациях</c:v>
                </c:pt>
                <c:pt idx="6">
                  <c:v>Размещение средств в форме договора займа</c:v>
                </c:pt>
                <c:pt idx="7">
                  <c:v>Займы в кредитных потреб.кооперативах</c:v>
                </c:pt>
                <c:pt idx="8">
                  <c:v>Размещение средств в форме договора займа в кредит.потреб.кооперативах</c:v>
                </c:pt>
                <c:pt idx="9">
                  <c:v>Займы в ломбардах</c:v>
                </c:pt>
                <c:pt idx="10">
                  <c:v>Добровольное страхование жизни</c:v>
                </c:pt>
                <c:pt idx="11">
                  <c:v>Другое добровольное страхование</c:v>
                </c:pt>
                <c:pt idx="12">
                  <c:v>Обязательное мед.страхование</c:v>
                </c:pt>
                <c:pt idx="13">
                  <c:v>Другое обязат.страхование</c:v>
                </c:pt>
                <c:pt idx="14">
                  <c:v>Займы в сельскохоз.кредит.потреб.кооперативах</c:v>
                </c:pt>
                <c:pt idx="15">
                  <c:v>Размещение средств в форме займа в сельскохоз.кредит.кооперативах</c:v>
                </c:pt>
                <c:pt idx="16">
                  <c:v>Обязат.пенсионное страхование</c:v>
                </c:pt>
                <c:pt idx="17">
                  <c:v>Негосударственное пенсионное обеспечение</c:v>
                </c:pt>
                <c:pt idx="18">
                  <c:v>Индивидуальные инвестиционные счета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9"/>
                <c:pt idx="0">
                  <c:v>0.35499999999999998</c:v>
                </c:pt>
                <c:pt idx="1">
                  <c:v>0.11600000000000001</c:v>
                </c:pt>
                <c:pt idx="2">
                  <c:v>0</c:v>
                </c:pt>
                <c:pt idx="3">
                  <c:v>8.5000000000000006E-2</c:v>
                </c:pt>
                <c:pt idx="4">
                  <c:v>0</c:v>
                </c:pt>
                <c:pt idx="5">
                  <c:v>2.9000000000000001E-2</c:v>
                </c:pt>
                <c:pt idx="6">
                  <c:v>0</c:v>
                </c:pt>
                <c:pt idx="7">
                  <c:v>2.4E-2</c:v>
                </c:pt>
                <c:pt idx="8">
                  <c:v>0</c:v>
                </c:pt>
                <c:pt idx="9">
                  <c:v>0.01</c:v>
                </c:pt>
                <c:pt idx="10">
                  <c:v>6.8000000000000005E-2</c:v>
                </c:pt>
                <c:pt idx="11">
                  <c:v>0.13500000000000001</c:v>
                </c:pt>
                <c:pt idx="12">
                  <c:v>0.41299999999999998</c:v>
                </c:pt>
                <c:pt idx="13">
                  <c:v>0</c:v>
                </c:pt>
                <c:pt idx="14">
                  <c:v>2.1999999999999999E-2</c:v>
                </c:pt>
                <c:pt idx="15">
                  <c:v>0</c:v>
                </c:pt>
                <c:pt idx="16">
                  <c:v>0.28499999999999998</c:v>
                </c:pt>
                <c:pt idx="17">
                  <c:v>0.32600000000000001</c:v>
                </c:pt>
                <c:pt idx="1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55-4C28-B4BB-DFED0AFAC92C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удовлетворены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9"/>
                <c:pt idx="0">
                  <c:v>Кредиты</c:v>
                </c:pt>
                <c:pt idx="1">
                  <c:v>Вклады</c:v>
                </c:pt>
                <c:pt idx="2">
                  <c:v>Расчетные дебетовые карты, включая зарплатные</c:v>
                </c:pt>
                <c:pt idx="3">
                  <c:v>Кредитные карты</c:v>
                </c:pt>
                <c:pt idx="4">
                  <c:v>Переводы и платежи</c:v>
                </c:pt>
                <c:pt idx="5">
                  <c:v>Займы в микрофин.организациях</c:v>
                </c:pt>
                <c:pt idx="6">
                  <c:v>Размещение средств в форме договора займа</c:v>
                </c:pt>
                <c:pt idx="7">
                  <c:v>Займы в кредитных потреб.кооперативах</c:v>
                </c:pt>
                <c:pt idx="8">
                  <c:v>Размещение средств в форме договора займа в кредит.потреб.кооперативах</c:v>
                </c:pt>
                <c:pt idx="9">
                  <c:v>Займы в ломбардах</c:v>
                </c:pt>
                <c:pt idx="10">
                  <c:v>Добровольное страхование жизни</c:v>
                </c:pt>
                <c:pt idx="11">
                  <c:v>Другое добровольное страхование</c:v>
                </c:pt>
                <c:pt idx="12">
                  <c:v>Обязательное мед.страхование</c:v>
                </c:pt>
                <c:pt idx="13">
                  <c:v>Другое обязат.страхование</c:v>
                </c:pt>
                <c:pt idx="14">
                  <c:v>Займы в сельскохоз.кредит.потреб.кооперативах</c:v>
                </c:pt>
                <c:pt idx="15">
                  <c:v>Размещение средств в форме займа в сельскохоз.кредит.кооперативах</c:v>
                </c:pt>
                <c:pt idx="16">
                  <c:v>Обязат.пенсионное страхование</c:v>
                </c:pt>
                <c:pt idx="17">
                  <c:v>Негосударственное пенсионное обеспечение</c:v>
                </c:pt>
                <c:pt idx="18">
                  <c:v>Индивидуальные инвестиционные счета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9"/>
                <c:pt idx="0">
                  <c:v>0.309</c:v>
                </c:pt>
                <c:pt idx="1">
                  <c:v>0.51200000000000001</c:v>
                </c:pt>
                <c:pt idx="2">
                  <c:v>1</c:v>
                </c:pt>
                <c:pt idx="3">
                  <c:v>9.7000000000000003E-2</c:v>
                </c:pt>
                <c:pt idx="4">
                  <c:v>1</c:v>
                </c:pt>
                <c:pt idx="5">
                  <c:v>0.104</c:v>
                </c:pt>
                <c:pt idx="6">
                  <c:v>0</c:v>
                </c:pt>
                <c:pt idx="7">
                  <c:v>5.2999999999999999E-2</c:v>
                </c:pt>
                <c:pt idx="8">
                  <c:v>0</c:v>
                </c:pt>
                <c:pt idx="9">
                  <c:v>1.9E-2</c:v>
                </c:pt>
                <c:pt idx="10">
                  <c:v>0.24199999999999999</c:v>
                </c:pt>
                <c:pt idx="11">
                  <c:v>0.46600000000000003</c:v>
                </c:pt>
                <c:pt idx="12">
                  <c:v>0.58699999999999997</c:v>
                </c:pt>
                <c:pt idx="13">
                  <c:v>0</c:v>
                </c:pt>
                <c:pt idx="14">
                  <c:v>6.3E-2</c:v>
                </c:pt>
                <c:pt idx="15">
                  <c:v>0</c:v>
                </c:pt>
                <c:pt idx="16">
                  <c:v>0.71499999999999997</c:v>
                </c:pt>
                <c:pt idx="17">
                  <c:v>0.67400000000000004</c:v>
                </c:pt>
                <c:pt idx="1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55-4C28-B4BB-DFED0AFAC92C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не сталкивались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9"/>
                <c:pt idx="0">
                  <c:v>Кредиты</c:v>
                </c:pt>
                <c:pt idx="1">
                  <c:v>Вклады</c:v>
                </c:pt>
                <c:pt idx="2">
                  <c:v>Расчетные дебетовые карты, включая зарплатные</c:v>
                </c:pt>
                <c:pt idx="3">
                  <c:v>Кредитные карты</c:v>
                </c:pt>
                <c:pt idx="4">
                  <c:v>Переводы и платежи</c:v>
                </c:pt>
                <c:pt idx="5">
                  <c:v>Займы в микрофин.организациях</c:v>
                </c:pt>
                <c:pt idx="6">
                  <c:v>Размещение средств в форме договора займа</c:v>
                </c:pt>
                <c:pt idx="7">
                  <c:v>Займы в кредитных потреб.кооперативах</c:v>
                </c:pt>
                <c:pt idx="8">
                  <c:v>Размещение средств в форме договора займа в кредит.потреб.кооперативах</c:v>
                </c:pt>
                <c:pt idx="9">
                  <c:v>Займы в ломбардах</c:v>
                </c:pt>
                <c:pt idx="10">
                  <c:v>Добровольное страхование жизни</c:v>
                </c:pt>
                <c:pt idx="11">
                  <c:v>Другое добровольное страхование</c:v>
                </c:pt>
                <c:pt idx="12">
                  <c:v>Обязательное мед.страхование</c:v>
                </c:pt>
                <c:pt idx="13">
                  <c:v>Другое обязат.страхование</c:v>
                </c:pt>
                <c:pt idx="14">
                  <c:v>Займы в сельскохоз.кредит.потреб.кооперативах</c:v>
                </c:pt>
                <c:pt idx="15">
                  <c:v>Размещение средств в форме займа в сельскохоз.кредит.кооперативах</c:v>
                </c:pt>
                <c:pt idx="16">
                  <c:v>Обязат.пенсионное страхование</c:v>
                </c:pt>
                <c:pt idx="17">
                  <c:v>Негосударственное пенсионное обеспечение</c:v>
                </c:pt>
                <c:pt idx="18">
                  <c:v>Индивидуальные инвестиционные счета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9"/>
                <c:pt idx="0">
                  <c:v>0.33600000000000002</c:v>
                </c:pt>
                <c:pt idx="1">
                  <c:v>0.372</c:v>
                </c:pt>
                <c:pt idx="2">
                  <c:v>0</c:v>
                </c:pt>
                <c:pt idx="3">
                  <c:v>0.81899999999999995</c:v>
                </c:pt>
                <c:pt idx="4">
                  <c:v>0</c:v>
                </c:pt>
                <c:pt idx="5">
                  <c:v>0.86699999999999999</c:v>
                </c:pt>
                <c:pt idx="6">
                  <c:v>1</c:v>
                </c:pt>
                <c:pt idx="7">
                  <c:v>0.92300000000000004</c:v>
                </c:pt>
                <c:pt idx="8">
                  <c:v>1</c:v>
                </c:pt>
                <c:pt idx="9">
                  <c:v>0.97099999999999997</c:v>
                </c:pt>
                <c:pt idx="10">
                  <c:v>0.69099999999999995</c:v>
                </c:pt>
                <c:pt idx="11">
                  <c:v>0.39900000000000002</c:v>
                </c:pt>
                <c:pt idx="12">
                  <c:v>0</c:v>
                </c:pt>
                <c:pt idx="13">
                  <c:v>1</c:v>
                </c:pt>
                <c:pt idx="14">
                  <c:v>0.91500000000000004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55-4C28-B4BB-DFED0AFAC9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251135"/>
        <c:axId val="32832657"/>
        <c:axId val="0"/>
      </c:bar3DChart>
      <c:catAx>
        <c:axId val="62251135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32832657"/>
        <c:crosses val="autoZero"/>
        <c:auto val="1"/>
        <c:lblAlgn val="ctr"/>
        <c:lblOffset val="100"/>
        <c:noMultiLvlLbl val="0"/>
      </c:catAx>
      <c:valAx>
        <c:axId val="32832657"/>
        <c:scaling>
          <c:orientation val="minMax"/>
        </c:scaling>
        <c:delete val="0"/>
        <c:axPos val="l"/>
        <c:majorGridlines>
          <c:spPr>
            <a:ln w="6480">
              <a:solidFill>
                <a:srgbClr val="8B8B8B"/>
              </a:solidFill>
              <a:round/>
            </a:ln>
          </c:spPr>
        </c:majorGridlines>
        <c:numFmt formatCode="0%" sourceLinked="0"/>
        <c:majorTickMark val="out"/>
        <c:minorTickMark val="none"/>
        <c:tickLblPos val="none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62251135"/>
        <c:crosses val="autoZero"/>
        <c:crossBetween val="between"/>
      </c:valAx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100" b="1" strike="noStrike" spc="-1">
                <a:solidFill>
                  <a:srgbClr val="000000"/>
                </a:solidFill>
                <a:latin typeface="Times New Roman"/>
              </a:defRPr>
            </a:pPr>
            <a:r>
              <a:rPr lang="ru-RU" sz="1100" b="1" strike="noStrike" spc="-1">
                <a:solidFill>
                  <a:srgbClr val="000000"/>
                </a:solidFill>
                <a:latin typeface="Times New Roman"/>
              </a:rPr>
              <a:t>Количества опрошенных респондентов с 
учетом их образования</a:t>
            </a:r>
          </a:p>
        </c:rich>
      </c:tx>
      <c:layout>
        <c:manualLayout>
          <c:xMode val="edge"/>
          <c:yMode val="edge"/>
          <c:x val="0.27531250000000002"/>
          <c:y val="4.0333333333333297E-2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7749999999999995E-2"/>
          <c:y val="0.25744444444444398"/>
          <c:w val="0.86362499999999998"/>
          <c:h val="0.4437777777777779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FF0000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н.э.05n051905al</c:v>
                </c:pt>
                <c:pt idx="1">
                  <c:v>н.э.05n051905al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0.67500000000000104</c:v>
                </c:pt>
                <c:pt idx="1">
                  <c:v>0.67700000000000105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94-4EA1-BBD2-2177AA1873DF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Среднее специальное</c:v>
                </c:pt>
              </c:strCache>
            </c:strRef>
          </c:tx>
          <c:spPr>
            <a:solidFill>
              <a:srgbClr val="FFFF00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н.э.05n051905al</c:v>
                </c:pt>
                <c:pt idx="1">
                  <c:v>н.э.05n051905al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0.25600000000000001</c:v>
                </c:pt>
                <c:pt idx="1">
                  <c:v>0.246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94-4EA1-BBD2-2177AA1873DF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Общее среднее</c:v>
                </c:pt>
              </c:strCache>
            </c:strRef>
          </c:tx>
          <c:spPr>
            <a:solidFill>
              <a:srgbClr val="92D050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н.э.05n051905al</c:v>
                </c:pt>
                <c:pt idx="1">
                  <c:v>н.э.05n051905al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6.9000000000000006E-2</c:v>
                </c:pt>
                <c:pt idx="1">
                  <c:v>7.6999999999999999E-2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94-4EA1-BBD2-2177AA1873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85161252"/>
        <c:axId val="61720103"/>
      </c:barChart>
      <c:catAx>
        <c:axId val="8516125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61720103"/>
        <c:crosses val="autoZero"/>
        <c:auto val="1"/>
        <c:lblAlgn val="ctr"/>
        <c:lblOffset val="100"/>
        <c:noMultiLvlLbl val="0"/>
      </c:catAx>
      <c:valAx>
        <c:axId val="61720103"/>
        <c:scaling>
          <c:orientation val="minMax"/>
          <c:max val="1"/>
        </c:scaling>
        <c:delete val="0"/>
        <c:axPos val="b"/>
        <c:majorGridlines>
          <c:spPr>
            <a:ln w="6480">
              <a:solidFill>
                <a:srgbClr val="8B8B8B"/>
              </a:solidFill>
              <a:round/>
            </a:ln>
          </c:spPr>
        </c:majorGridlines>
        <c:numFmt formatCode="0.0%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85161252"/>
        <c:crosses val="autoZero"/>
        <c:crossBetween val="between"/>
      </c:valAx>
      <c:spPr>
        <a:noFill/>
        <a:ln w="0">
          <a:noFill/>
        </a:ln>
      </c:spPr>
    </c:plotArea>
    <c:legend>
      <c:legendPos val="b"/>
      <c:layout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690" b="1" strike="noStrike" spc="148">
                <a:solidFill>
                  <a:srgbClr val="808080"/>
                </a:solidFill>
                <a:latin typeface="Calibri"/>
              </a:defRPr>
            </a:pPr>
            <a:r>
              <a:rPr lang="ru-RU" sz="1690" b="1" strike="noStrike" spc="148">
                <a:solidFill>
                  <a:srgbClr val="808080"/>
                </a:solidFill>
                <a:latin typeface="Calibri"/>
              </a:rPr>
              <a:t>оценка населения качества услуг, предоставляемых субъектами естественных монополий</a:t>
            </a:r>
          </a:p>
        </c:rich>
      </c:tx>
      <c:layout>
        <c:manualLayout>
          <c:xMode val="edge"/>
          <c:yMode val="edge"/>
          <c:x val="0.105375"/>
          <c:y val="6.8666666666666695E-2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6812500000000001E-2"/>
          <c:y val="0.36888888888888899"/>
          <c:w val="0.82574999999999998"/>
          <c:h val="0.3441111111111109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неудовлеторен</c:v>
                </c:pt>
              </c:strCache>
            </c:strRef>
          </c:tx>
          <c:spPr>
            <a:pattFill prst="ltHorz">
              <a:fgClr>
                <a:srgbClr val="70AD47"/>
              </a:fgClr>
              <a:bgClr>
                <a:srgbClr val="E2F0D9"/>
              </a:bgClr>
            </a:pattFill>
            <a:ln w="0"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categories</c:f>
              <c:strCache>
                <c:ptCount val="6"/>
                <c:pt idx="1">
                  <c:v>Водоснабжение, водоотведение</c:v>
                </c:pt>
                <c:pt idx="2">
                  <c:v>Водоочистка</c:v>
                </c:pt>
                <c:pt idx="3">
                  <c:v>Газоснабжение</c:v>
                </c:pt>
                <c:pt idx="4">
                  <c:v>Электроснабжение</c:v>
                </c:pt>
                <c:pt idx="5">
                  <c:v>Теплоснабжение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1">
                  <c:v>31.5</c:v>
                </c:pt>
                <c:pt idx="2">
                  <c:v>46.4</c:v>
                </c:pt>
                <c:pt idx="3">
                  <c:v>30.5</c:v>
                </c:pt>
                <c:pt idx="4">
                  <c:v>7.7</c:v>
                </c:pt>
                <c:pt idx="5">
                  <c:v>20.3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B5-4551-9D56-98D1E3EF6293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pattFill prst="ltHorz">
              <a:fgClr>
                <a:srgbClr val="4472C4"/>
              </a:fgClr>
              <a:bgClr>
                <a:srgbClr val="DAE3F3"/>
              </a:bgClr>
            </a:pattFill>
            <a:ln w="0"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categories</c:f>
              <c:strCache>
                <c:ptCount val="6"/>
                <c:pt idx="1">
                  <c:v>Водоснабжение, водоотведение</c:v>
                </c:pt>
                <c:pt idx="2">
                  <c:v>Водоочистка</c:v>
                </c:pt>
                <c:pt idx="3">
                  <c:v>Газоснабжение</c:v>
                </c:pt>
                <c:pt idx="4">
                  <c:v>Электроснабжение</c:v>
                </c:pt>
                <c:pt idx="5">
                  <c:v>Теплоснабжение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6"/>
                <c:pt idx="1">
                  <c:v>68.5</c:v>
                </c:pt>
                <c:pt idx="2">
                  <c:v>53.6</c:v>
                </c:pt>
                <c:pt idx="3">
                  <c:v>69.5</c:v>
                </c:pt>
                <c:pt idx="4">
                  <c:v>92.3</c:v>
                </c:pt>
                <c:pt idx="5">
                  <c:v>79.7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B5-4551-9D56-98D1E3EF6293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Ряд3</c:v>
                </c:pt>
              </c:strCache>
            </c:strRef>
          </c:tx>
          <c:spPr>
            <a:pattFill prst="ltHorz">
              <a:fgClr>
                <a:srgbClr val="FFC000"/>
              </a:fgClr>
              <a:bgClr>
                <a:srgbClr val="FFF2CC"/>
              </a:bgClr>
            </a:pattFill>
            <a:ln w="0"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6"/>
                <c:pt idx="1">
                  <c:v>Водоснабжение, водоотведение</c:v>
                </c:pt>
                <c:pt idx="2">
                  <c:v>Водоочистка</c:v>
                </c:pt>
                <c:pt idx="3">
                  <c:v>Газоснабжение</c:v>
                </c:pt>
                <c:pt idx="4">
                  <c:v>Электроснабжение</c:v>
                </c:pt>
                <c:pt idx="5">
                  <c:v>Теплоснабжение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23B5-4551-9D56-98D1E3EF6293}"/>
            </c:ext>
          </c:extLst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Ряд4</c:v>
                </c:pt>
              </c:strCache>
            </c:strRef>
          </c:tx>
          <c:spPr>
            <a:pattFill prst="ltHorz">
              <a:fgClr>
                <a:srgbClr val="43682B"/>
              </a:fgClr>
              <a:bgClr>
                <a:srgbClr val="D8EACB"/>
              </a:bgClr>
            </a:pattFill>
            <a:ln w="0"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6"/>
                <c:pt idx="1">
                  <c:v>Водоснабжение, водоотведение</c:v>
                </c:pt>
                <c:pt idx="2">
                  <c:v>Водоочистка</c:v>
                </c:pt>
                <c:pt idx="3">
                  <c:v>Газоснабжение</c:v>
                </c:pt>
                <c:pt idx="4">
                  <c:v>Электроснабжение</c:v>
                </c:pt>
                <c:pt idx="5">
                  <c:v>Теплоснабжение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3-23B5-4551-9D56-98D1E3EF62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0050577"/>
        <c:axId val="34962532"/>
      </c:barChart>
      <c:catAx>
        <c:axId val="7005057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908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34962532"/>
        <c:crosses val="autoZero"/>
        <c:auto val="1"/>
        <c:lblAlgn val="ctr"/>
        <c:lblOffset val="100"/>
        <c:noMultiLvlLbl val="0"/>
      </c:catAx>
      <c:valAx>
        <c:axId val="34962532"/>
        <c:scaling>
          <c:orientation val="minMax"/>
        </c:scaling>
        <c:delete val="0"/>
        <c:axPos val="l"/>
        <c:majorGridlines>
          <c:spPr>
            <a:ln w="648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70050577"/>
        <c:crosses val="autoZero"/>
        <c:crossBetween val="between"/>
      </c:valAx>
      <c:spPr>
        <a:noFill/>
        <a:ln w="0">
          <a:noFill/>
        </a:ln>
      </c:spPr>
    </c:plotArea>
    <c:legend>
      <c:legendPos val="t"/>
      <c:layout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ru-RU" sz="1400" b="0" strike="noStrike" spc="-1">
                <a:solidFill>
                  <a:srgbClr val="595959"/>
                </a:solidFill>
                <a:latin typeface="Calibri"/>
              </a:rPr>
              <a:t>Оценка качества официальной информации, 
размещаемой в открытом доступе</a:t>
            </a:r>
          </a:p>
        </c:rich>
      </c:tx>
      <c:layout>
        <c:manualLayout>
          <c:xMode val="edge"/>
          <c:yMode val="edge"/>
          <c:x val="0.24231249999999999"/>
          <c:y val="2.36666666666667E-2"/>
        </c:manualLayout>
      </c:layout>
      <c:overlay val="0"/>
      <c:spPr>
        <a:blipFill rotWithShape="0">
          <a:blip xmlns:r="http://schemas.openxmlformats.org/officeDocument/2006/relationships" r:embed="rId1"/>
          <a:tile/>
        </a:blipFill>
        <a:ln w="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уровень доступности 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97.8</c:v>
                </c:pt>
                <c:pt idx="1">
                  <c:v>56.8</c:v>
                </c:pt>
                <c:pt idx="2">
                  <c:v>1.2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12-4D8D-A690-F38E30B8C102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уровень понятности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98.1</c:v>
                </c:pt>
                <c:pt idx="1">
                  <c:v>55.1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12-4D8D-A690-F38E30B8C102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удобство получения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96.6</c:v>
                </c:pt>
                <c:pt idx="1">
                  <c:v>63.3</c:v>
                </c:pt>
                <c:pt idx="2">
                  <c:v>2.2000000000000002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12-4D8D-A690-F38E30B8C1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5219101"/>
        <c:axId val="92257283"/>
      </c:barChart>
      <c:catAx>
        <c:axId val="8521910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92257283"/>
        <c:crosses val="autoZero"/>
        <c:auto val="1"/>
        <c:lblAlgn val="ctr"/>
        <c:lblOffset val="100"/>
        <c:noMultiLvlLbl val="0"/>
      </c:catAx>
      <c:valAx>
        <c:axId val="92257283"/>
        <c:scaling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85219101"/>
        <c:crosses val="autoZero"/>
        <c:crossBetween val="between"/>
      </c:valAx>
      <c:spPr>
        <a:noFill/>
        <a:ln w="0">
          <a:noFill/>
        </a:ln>
      </c:spPr>
    </c:plotArea>
    <c:legend>
      <c:legendPos val="b"/>
      <c:layout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ru-RU" sz="1400" b="0" strike="noStrike" spc="-1">
                <a:solidFill>
                  <a:srgbClr val="595959"/>
                </a:solidFill>
                <a:latin typeface="Calibri"/>
              </a:rPr>
              <a:t>Распределение респондентов по должностям, 
% к опрошенным</a:t>
            </a:r>
          </a:p>
        </c:rich>
      </c:tx>
      <c:layout/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</c:view3D>
    <c:floor>
      <c:thickness val="0"/>
      <c:spPr>
        <a:noFill/>
        <a:ln w="6480">
          <a:noFill/>
        </a:ln>
      </c:spPr>
    </c:floor>
    <c:sideWall>
      <c:thickness val="0"/>
      <c:spPr>
        <a:noFill/>
        <a:ln w="6480">
          <a:noFill/>
        </a:ln>
      </c:spPr>
    </c:sideWall>
    <c:backWall>
      <c:thickness val="0"/>
      <c:spPr>
        <a:noFill/>
        <a:ln w="648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собственник бизнеса</c:v>
                </c:pt>
                <c:pt idx="1">
                  <c:v>руководитель высшего звена</c:v>
                </c:pt>
                <c:pt idx="2">
                  <c:v>руководитель среднего звена</c:v>
                </c:pt>
                <c:pt idx="3">
                  <c:v>не руководящий работник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0.57199999999999995</c:v>
                </c:pt>
                <c:pt idx="1">
                  <c:v>0.14499999999999999</c:v>
                </c:pt>
                <c:pt idx="2">
                  <c:v>0.13</c:v>
                </c:pt>
                <c:pt idx="3">
                  <c:v>0.153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54-40F2-84E6-480B7B6E4D16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собственник бизнеса</c:v>
                </c:pt>
                <c:pt idx="1">
                  <c:v>руководитель высшего звена</c:v>
                </c:pt>
                <c:pt idx="2">
                  <c:v>руководитель среднего звена</c:v>
                </c:pt>
                <c:pt idx="3">
                  <c:v>не руководящий работник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0.64000000000000101</c:v>
                </c:pt>
                <c:pt idx="1">
                  <c:v>0.108</c:v>
                </c:pt>
                <c:pt idx="2">
                  <c:v>0.108</c:v>
                </c:pt>
                <c:pt idx="3">
                  <c:v>0.14399999999999999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54-40F2-84E6-480B7B6E4D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9983356"/>
        <c:axId val="32109149"/>
        <c:axId val="0"/>
      </c:bar3DChart>
      <c:catAx>
        <c:axId val="699833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32109149"/>
        <c:crosses val="autoZero"/>
        <c:auto val="1"/>
        <c:lblAlgn val="ctr"/>
        <c:lblOffset val="100"/>
        <c:noMultiLvlLbl val="0"/>
      </c:catAx>
      <c:valAx>
        <c:axId val="3210914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.0%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69983356"/>
        <c:crosses val="autoZero"/>
        <c:crossBetween val="between"/>
      </c:valAx>
    </c:plotArea>
    <c:legend>
      <c:legendPos val="b"/>
      <c:layout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ru-RU" sz="1400" b="0" strike="noStrike" spc="-1">
                <a:solidFill>
                  <a:srgbClr val="595959"/>
                </a:solidFill>
                <a:latin typeface="Calibri"/>
              </a:rPr>
              <a:t>Распределение респондентов, по времени осуществления деятельности, % к опрошенным</a:t>
            </a:r>
          </a:p>
        </c:rich>
      </c:tx>
      <c:layout/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</c:view3D>
    <c:floor>
      <c:thickness val="0"/>
      <c:spPr>
        <a:noFill/>
        <a:ln w="6480">
          <a:noFill/>
        </a:ln>
      </c:spPr>
    </c:floor>
    <c:sideWall>
      <c:thickness val="0"/>
      <c:spPr>
        <a:noFill/>
        <a:ln w="6480">
          <a:noFill/>
        </a:ln>
      </c:spPr>
    </c:sideWall>
    <c:backWall>
      <c:thickness val="0"/>
      <c:spPr>
        <a:noFill/>
        <a:ln w="6480">
          <a:noFill/>
        </a:ln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менее 1 года</c:v>
                </c:pt>
                <c:pt idx="1">
                  <c:v>от 1 года до 5 лет</c:v>
                </c:pt>
                <c:pt idx="2">
                  <c:v>более 5 лет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0.107</c:v>
                </c:pt>
                <c:pt idx="1">
                  <c:v>0.24399999999999999</c:v>
                </c:pt>
                <c:pt idx="2">
                  <c:v>0.64900000000000102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99-46DA-88AC-C7F738E4F0D8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менее 1 года</c:v>
                </c:pt>
                <c:pt idx="1">
                  <c:v>от 1 года до 5 лет</c:v>
                </c:pt>
                <c:pt idx="2">
                  <c:v>более 5 лет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0.09</c:v>
                </c:pt>
                <c:pt idx="1">
                  <c:v>0.23400000000000001</c:v>
                </c:pt>
                <c:pt idx="2">
                  <c:v>0.67600000000000104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99-46DA-88AC-C7F738E4F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115167"/>
        <c:axId val="60700656"/>
        <c:axId val="0"/>
      </c:bar3DChart>
      <c:catAx>
        <c:axId val="58115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60700656"/>
        <c:crosses val="autoZero"/>
        <c:auto val="1"/>
        <c:lblAlgn val="ctr"/>
        <c:lblOffset val="100"/>
        <c:noMultiLvlLbl val="0"/>
      </c:catAx>
      <c:valAx>
        <c:axId val="6070065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%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58115167"/>
        <c:crosses val="autoZero"/>
        <c:crossBetween val="between"/>
      </c:valAx>
    </c:plotArea>
    <c:legend>
      <c:legendPos val="b"/>
      <c:layout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ru-RU" sz="1400" b="0" strike="noStrike" spc="-1">
                <a:solidFill>
                  <a:srgbClr val="595959"/>
                </a:solidFill>
                <a:latin typeface="Calibri"/>
              </a:rPr>
              <a:t>Распределение предприятий и организаций по величине годового оборота, % к опрошенным</a:t>
            </a:r>
          </a:p>
        </c:rich>
      </c:tx>
      <c:layout/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</c:view3D>
    <c:floor>
      <c:thickness val="0"/>
      <c:spPr>
        <a:noFill/>
        <a:ln w="6480">
          <a:noFill/>
        </a:ln>
      </c:spPr>
    </c:floor>
    <c:sideWall>
      <c:thickness val="0"/>
      <c:spPr>
        <a:noFill/>
        <a:ln w="6480">
          <a:noFill/>
        </a:ln>
      </c:spPr>
    </c:sideWall>
    <c:backWall>
      <c:thickness val="0"/>
      <c:spPr>
        <a:noFill/>
        <a:ln w="6480">
          <a:noFill/>
        </a:ln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до 120 млн.рублей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2024 г.</c:v>
                </c:pt>
                <c:pt idx="1">
                  <c:v>2023 г.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0.80200000000000005</c:v>
                </c:pt>
                <c:pt idx="1">
                  <c:v>0.79300000000000004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63-4D0F-8A9D-C73210E15F9B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от 120 до 800 млн.рублей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663-4D0F-8A9D-C73210E15F9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663-4D0F-8A9D-C73210E15F9B}"/>
              </c:ext>
            </c:extLst>
          </c:dPt>
          <c:dLbls>
            <c:dLbl>
              <c:idx val="0"/>
              <c:layout>
                <c:manualLayout>
                  <c:x val="4.1666666666666699E-2"/>
                  <c:y val="1.1904761904761901E-2"/>
                </c:manualLayout>
              </c:layout>
              <c:numFmt formatCode="0.0%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663-4D0F-8A9D-C73210E15F9B}"/>
                </c:ext>
              </c:extLst>
            </c:dLbl>
            <c:dLbl>
              <c:idx val="1"/>
              <c:layout/>
              <c:numFmt formatCode="0.0%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663-4D0F-8A9D-C73210E15F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2024 г.</c:v>
                </c:pt>
                <c:pt idx="1">
                  <c:v>2023 г.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0.14499999999999999</c:v>
                </c:pt>
                <c:pt idx="1">
                  <c:v>0.14399999999999999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663-4D0F-8A9D-C73210E15F9B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6663-4D0F-8A9D-C73210E15F9B}"/>
              </c:ext>
            </c:extLst>
          </c:dPt>
          <c:dLbls>
            <c:dLbl>
              <c:idx val="0"/>
              <c:layout>
                <c:manualLayout>
                  <c:x val="-1.1574074074074099E-2"/>
                  <c:y val="-3.9682539682539698E-3"/>
                </c:manualLayout>
              </c:layout>
              <c:numFmt formatCode="0.0%" sourceLinked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663-4D0F-8A9D-C73210E15F9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2024 г.</c:v>
                </c:pt>
                <c:pt idx="1">
                  <c:v>2023 г.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5.2999999999999999E-2</c:v>
                </c:pt>
                <c:pt idx="1">
                  <c:v>6.3E-2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663-4D0F-8A9D-C73210E15F9B}"/>
            </c:ext>
          </c:extLst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от 800 до 2000 млн.рублей</c:v>
                </c:pt>
              </c:strCache>
            </c:strRef>
          </c:tx>
          <c:spPr>
            <a:solidFill>
              <a:srgbClr val="FFC000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2024 г.</c:v>
                </c:pt>
                <c:pt idx="1">
                  <c:v>2023 г.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663-4D0F-8A9D-C73210E15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5184660"/>
        <c:axId val="53689141"/>
        <c:axId val="0"/>
      </c:bar3DChart>
      <c:catAx>
        <c:axId val="851846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53689141"/>
        <c:crosses val="autoZero"/>
        <c:auto val="1"/>
        <c:lblAlgn val="ctr"/>
        <c:lblOffset val="100"/>
        <c:noMultiLvlLbl val="0"/>
      </c:catAx>
      <c:valAx>
        <c:axId val="53689141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%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85184660"/>
        <c:crosses val="autoZero"/>
        <c:crossBetween val="between"/>
      </c:valAx>
    </c:plotArea>
    <c:legend>
      <c:legendPos val="b"/>
      <c:legendEntry>
        <c:idx val="2"/>
        <c:delete val="1"/>
      </c:legendEntry>
      <c:layout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ru-RU" sz="1400" b="0" strike="noStrike" spc="-1">
                <a:solidFill>
                  <a:srgbClr val="595959"/>
                </a:solidFill>
                <a:latin typeface="Calibri"/>
              </a:rPr>
              <a:t>Распределение предприятий и организаций по основной производимой продукции (товару, работе, услуге), % к опрошенным</a:t>
            </a:r>
          </a:p>
        </c:rich>
      </c:tx>
      <c:layout/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48775000000000002"/>
          <c:y val="0.16600000000000001"/>
          <c:w val="0.48925000000000002"/>
          <c:h val="0.756000000000000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categories</c:f>
              <c:strCache>
                <c:ptCount val="10"/>
                <c:pt idx="0">
                  <c:v>Оптово-розничная торговля</c:v>
                </c:pt>
                <c:pt idx="1">
                  <c:v>Сфера услуг</c:v>
                </c:pt>
                <c:pt idx="2">
                  <c:v>из них: </c:v>
                </c:pt>
                <c:pt idx="3">
                  <c:v>Медицинские услуги</c:v>
                </c:pt>
                <c:pt idx="4">
                  <c:v>Транспортные услуги</c:v>
                </c:pt>
                <c:pt idx="5">
                  <c:v>Конечная продукция (эл.энергия, сжиженный газ и т.д.)</c:v>
                </c:pt>
                <c:pt idx="6">
                  <c:v>из них: </c:v>
                </c:pt>
                <c:pt idx="7">
                  <c:v>Сельскохозяйственная продукция</c:v>
                </c:pt>
                <c:pt idx="8">
                  <c:v>Строительство</c:v>
                </c:pt>
                <c:pt idx="9">
                  <c:v>Прочие (бытовое обслуживание, общественное питание, ногтевой сервис)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0"/>
                <c:pt idx="0">
                  <c:v>0.20599999999999999</c:v>
                </c:pt>
                <c:pt idx="1">
                  <c:v>0.45100000000000001</c:v>
                </c:pt>
                <c:pt idx="3">
                  <c:v>9.1999999999999998E-2</c:v>
                </c:pt>
                <c:pt idx="4">
                  <c:v>0.216</c:v>
                </c:pt>
                <c:pt idx="5">
                  <c:v>0.30599999999999999</c:v>
                </c:pt>
                <c:pt idx="7">
                  <c:v>0.09</c:v>
                </c:pt>
                <c:pt idx="8">
                  <c:v>1.7999999999999999E-2</c:v>
                </c:pt>
                <c:pt idx="9">
                  <c:v>3.6999999999999998E-2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0C-421E-B53D-88A76C3E78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2454950"/>
        <c:axId val="67612851"/>
      </c:barChart>
      <c:catAx>
        <c:axId val="7245495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67612851"/>
        <c:crosses val="autoZero"/>
        <c:auto val="1"/>
        <c:lblAlgn val="ctr"/>
        <c:lblOffset val="100"/>
        <c:noMultiLvlLbl val="0"/>
      </c:catAx>
      <c:valAx>
        <c:axId val="67612851"/>
        <c:scaling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.0%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72454950"/>
        <c:crosses val="autoZero"/>
        <c:crossBetween val="between"/>
      </c:valAx>
      <c:spPr>
        <a:noFill/>
        <a:ln w="0">
          <a:noFill/>
        </a:ln>
      </c:spPr>
    </c:plotArea>
    <c:legend>
      <c:legendPos val="b"/>
      <c:layout>
        <c:manualLayout>
          <c:xMode val="edge"/>
          <c:yMode val="edge"/>
          <c:x val="0.46468749999999998"/>
          <c:y val="0.94099999999999995"/>
          <c:w val="7.0504406525407806E-2"/>
          <c:h val="5.8895432825869502E-2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133B-37BC-4706-981C-AE808CAF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48</Pages>
  <Words>9557</Words>
  <Characters>54476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Черскова Лариса Петровна</dc:creator>
  <dc:description/>
  <cp:lastModifiedBy>Черскова Лариса Петровна</cp:lastModifiedBy>
  <cp:revision>11</cp:revision>
  <cp:lastPrinted>2024-12-04T14:38:00Z</cp:lastPrinted>
  <dcterms:created xsi:type="dcterms:W3CDTF">2024-12-08T14:13:00Z</dcterms:created>
  <dcterms:modified xsi:type="dcterms:W3CDTF">2024-12-10T12:57:00Z</dcterms:modified>
  <dc:language>ru-RU</dc:language>
</cp:coreProperties>
</file>