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exact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Аналитическая записка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результатам проведенного мониторинга деятельности хозяйствующих субъектов Петровского городского округа Ставропольского края, доля участия муниципального образования в которых составляет 50 и более процентов</w:t>
      </w:r>
      <w:r>
        <w:rPr>
          <w:rFonts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 2020 год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Мониторинг деятельности хозяйствующих субъектов, доля участия муниципального образования в которых составляет 50 и более процентов, проведен в соответствии с методическими рекомендациями, разработанными министерством экономического развития Ставропольского края. Данные для проведения мониторинга были предоставлены отделами и органами администрации Петровского городского округа Ставропольского края (далее – городского округа).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состоянию на 01.01.2021 года количество организаций включенных в реестр хозяйствующих субъектов доля участия муниципального образования в которых составляет 50 и более процентов составило 90 организаций, что на 1 предприятие меньше, чем в 2019 году. Это объясняется тем, что 1 предприятие прекратило свою деятельность в связи с реорганизацией.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Общий объем финансирования данных предприятий за счет бюджетов всех уровней составил 1 2</w:t>
      </w:r>
      <w:r>
        <w:rPr>
          <w:rFonts w:cs="Times New Roman" w:ascii="Times New Roman" w:hAnsi="Times New Roman"/>
          <w:sz w:val="28"/>
          <w:szCs w:val="28"/>
          <w:lang w:val="ru-RU"/>
        </w:rPr>
        <w:t>26 858</w:t>
      </w:r>
      <w:r>
        <w:rPr>
          <w:rFonts w:cs="Times New Roman" w:ascii="Times New Roman" w:hAnsi="Times New Roman"/>
          <w:sz w:val="28"/>
          <w:szCs w:val="28"/>
        </w:rPr>
        <w:t xml:space="preserve"> тыс. рублей, что на </w:t>
      </w:r>
      <w:r>
        <w:rPr>
          <w:rFonts w:cs="Times New Roman" w:ascii="Times New Roman" w:hAnsi="Times New Roman"/>
          <w:sz w:val="28"/>
          <w:szCs w:val="28"/>
          <w:lang w:val="ru-RU"/>
        </w:rPr>
        <w:t>0,45</w:t>
      </w:r>
      <w:r>
        <w:rPr>
          <w:rFonts w:cs="Times New Roman" w:ascii="Times New Roman" w:hAnsi="Times New Roman"/>
          <w:sz w:val="28"/>
          <w:szCs w:val="28"/>
        </w:rPr>
        <w:t xml:space="preserve"> % меньше уровня 2019 года. Объем выручки хозяйствующих субъектов по итогам деятельности за 2020 год по сравнению с уровнем 2019 года снизился на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3,9 </w:t>
      </w:r>
      <w:r>
        <w:rPr>
          <w:rFonts w:cs="Times New Roman" w:ascii="Times New Roman" w:hAnsi="Times New Roman"/>
          <w:sz w:val="28"/>
          <w:szCs w:val="28"/>
        </w:rPr>
        <w:t>% и составил 1 2</w:t>
      </w:r>
      <w:r>
        <w:rPr>
          <w:rFonts w:cs="Times New Roman" w:ascii="Times New Roman" w:hAnsi="Times New Roman"/>
          <w:sz w:val="28"/>
          <w:szCs w:val="28"/>
          <w:lang w:val="ru-RU"/>
        </w:rPr>
        <w:t>83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402</w:t>
      </w:r>
      <w:r>
        <w:rPr>
          <w:rFonts w:cs="Times New Roman" w:ascii="Times New Roman" w:hAnsi="Times New Roman"/>
          <w:sz w:val="28"/>
          <w:szCs w:val="28"/>
        </w:rPr>
        <w:t xml:space="preserve"> тыс. рублей.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Сфера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Система образования городского округа на 01.01.2021 года включает 75 муниципальных образовательных учреждений, в том числе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30 муниципальных дошкольных образовательных учреждений, 19</w:t>
      </w:r>
      <w:r>
        <w:rPr>
          <w:rFonts w:cs="Times New Roman" w:ascii="Times New Roman" w:hAnsi="Times New Roman"/>
          <w:sz w:val="28"/>
          <w:szCs w:val="28"/>
        </w:rPr>
        <w:t xml:space="preserve"> муниципальных общеобразовательных учреждений и 25 муниципальных учреждений дополнительного образования, а также 1 учреждение, обеспечивающее деятельность отдела образования администрации Петровского городского округа Ставропольского края путем оказания методической помощи образовательным учреждениям и педагогам Петровского городского округа Ставропольского края.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Суммарная доля участия (собственности) муниципалитета в них составляет 100 % (рынок присутствия хозяйствующих субъектов – местный).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Деятельность в сфере культуры и искусства.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Петровского городского округа Ставропольского края деятельность в сфере культуры и искусства осуществляют 18 организаций. Все учреждения являются хозяйствующими субъектами с суммарной долей участия муниципального образования, в которых 100 %, рынок присутствия хозяйствующих субъектов – местный.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Физическая культура и спорт.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направление представлено 6 предприятиями осуществляющими деятельность в области спорта. Все учреждения являются хозяйствующими субъектами с суммарной долей участия муниципального образования – 100%, рынок присутствия хозяйствующих субъектов – местный.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 городском округе сфера по обеспечению безопасности в чрезвычайных ситуациях, прочая представлена одним казенным учреждением - м</w:t>
      </w:r>
      <w:r>
        <w:rPr>
          <w:rFonts w:ascii="Times New Roman" w:hAnsi="Times New Roman"/>
          <w:sz w:val="28"/>
          <w:szCs w:val="28"/>
        </w:rPr>
        <w:t>униципальным казенным учреждением «Аварийно-спасательное формирование Петровского городского округа Ставропольского края»,</w:t>
      </w:r>
      <w:r>
        <w:rPr>
          <w:rFonts w:cs="Times New Roman" w:ascii="Times New Roman" w:hAnsi="Times New Roman"/>
          <w:sz w:val="28"/>
          <w:szCs w:val="28"/>
        </w:rPr>
        <w:t xml:space="preserve"> чья деятельность связана со спасательными работами. Суммарная доля участия (собственности) муниципалитета в хозяйствующем субъекте составляет 100%, рынок присутствия хозяйствующих субъектов – местный.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 По состоянию на 01.01.2021 года сфера предоставления жилищно-коммунальных услуг представлена </w:t>
        <w:br/>
        <w:t>2 учреждениями (м</w:t>
      </w:r>
      <w:r>
        <w:rPr>
          <w:rFonts w:ascii="Times New Roman" w:hAnsi="Times New Roman"/>
          <w:sz w:val="28"/>
          <w:szCs w:val="28"/>
        </w:rPr>
        <w:t xml:space="preserve">униципальное бюджетное учреждение Петровского городского округа СК «Коммунальное хозяйство» и 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казенное учреждение «Петровский комбинат благоустройства и озеленения</w:t>
      </w:r>
      <w:r>
        <w:rPr>
          <w:rFonts w:cs="Times New Roman" w:ascii="Times New Roman" w:hAnsi="Times New Roman"/>
          <w:sz w:val="28"/>
          <w:szCs w:val="28"/>
        </w:rPr>
        <w:t>»).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Суммарная доля участия (собственности) муниципалитета в хозяйствующих субъектах составляет 100%, территориальное наименование рынка – местный;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Рынок ритуальных услуг городского округа представлен м</w:t>
      </w:r>
      <w:r>
        <w:rPr>
          <w:rFonts w:ascii="Times New Roman" w:hAnsi="Times New Roman"/>
          <w:sz w:val="28"/>
          <w:szCs w:val="28"/>
        </w:rPr>
        <w:t xml:space="preserve">униципальным бюджетным учреждением Петровского городского округа СК «Коммунальное хозяйство». </w:t>
      </w:r>
      <w:r>
        <w:rPr>
          <w:rFonts w:cs="Times New Roman" w:ascii="Times New Roman" w:hAnsi="Times New Roman"/>
          <w:sz w:val="28"/>
          <w:szCs w:val="28"/>
        </w:rPr>
        <w:t>Суммарная доля (собственности) муниципалитета составляет 100%, территориальное наименование рынка – местный.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В сфере торговли и предоставления бытовых услуг населению в Петровском городском округе свою деятельность осуществляют следующие предприятия: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униципальное унитарное предприятие Петровского городского округа Ставропольского края «Центральный рынок»;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унитарное предприятие «Петровского городского округа СК «Торговли и бытового обслуживания»;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казенное предприятие Петровского городского округа Ставропольского края «Баня села Благодатного»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ListParagraph"/>
        <w:widowControl w:val="false"/>
        <w:spacing w:lineRule="auto" w:line="240" w:before="0" w:after="0"/>
        <w:ind w:left="0" w:firstLine="4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Суммарная доля участия (собственности) муниципалитета в данных хозяйствующих субъектах составляет 100%, рынок присутствия хозяйствующих субъектов – местный.</w:t>
      </w:r>
    </w:p>
    <w:p>
      <w:pPr>
        <w:pStyle w:val="Normal"/>
        <w:widowControl w:val="false"/>
        <w:spacing w:lineRule="auto" w:line="240" w:before="0" w:after="0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Кроме вышеперечисленных сфер деятельности на территории городского округа осуществляется деятельность еще трех предприятий с долей участия муниципального образования 50 и более процентов:</w:t>
      </w:r>
    </w:p>
    <w:p>
      <w:pPr>
        <w:pStyle w:val="Normal"/>
        <w:widowControl w:val="false"/>
        <w:spacing w:lineRule="auto" w:line="240" w:before="0" w:after="0"/>
        <w:ind w:firstLine="4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-м</w:t>
      </w:r>
      <w:r>
        <w:rPr>
          <w:rFonts w:ascii="Times New Roman" w:hAnsi="Times New Roman"/>
          <w:sz w:val="28"/>
          <w:szCs w:val="28"/>
        </w:rPr>
        <w:t>униципальное казенное учреждение "Централизованная бухгалтерия";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олодежное казенное учреждение "Молодежный центр "Импульс".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Суммарная доля участия (собственности) муниципалитета в хозяйствующих субъектах составляет 100%, рынок присутствия – местный.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отметить, что большинство хозяйствующих субъектов Петровского городского округа Ставропольского края, доля участия муниципального образования в которых составляет 50 и более процентов, не имеют конкуренции на рынках со стороны коммерческих организаций.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Реестр хозяйствующих субъектов и результаты мониторинга деятельности хозяйствующих субъектов Петровского городского округа Ставропольского края, доля участия муниципального образования в которых составляет 50 и более процентов, размещены на официальном сайте администрации Петровского городского округа Ставропольского края в информационно-телекоммуникационной сети «Интернет» </w:t>
      </w:r>
      <w:hyperlink r:id="rId2">
        <w:r>
          <w:rPr>
            <w:rStyle w:val="Style1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Style18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>
          <w:rPr>
            <w:rStyle w:val="Style1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petrgosk</w:t>
        </w:r>
        <w:r>
          <w:rPr>
            <w:rStyle w:val="Style1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Style1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>
          <w:rPr>
            <w:rStyle w:val="Style18"/>
            <w:rFonts w:ascii="Times New Roman" w:hAnsi="Times New Roman"/>
            <w:color w:val="auto"/>
            <w:sz w:val="28"/>
            <w:szCs w:val="28"/>
            <w:u w:val="none"/>
          </w:rPr>
          <w:t>//</w:t>
        </w:r>
      </w:hyperlink>
      <w:r>
        <w:rPr>
          <w:rFonts w:ascii="Times New Roman" w:hAnsi="Times New Roman"/>
          <w:sz w:val="28"/>
          <w:szCs w:val="28"/>
        </w:rPr>
        <w:t xml:space="preserve">  в разделе «Экономика»/Развитие конкуренции/Информационные документы/.</w:t>
      </w:r>
    </w:p>
    <w:sectPr>
      <w:headerReference w:type="default" r:id="rId3"/>
      <w:type w:val="nextPage"/>
      <w:pgSz w:w="11906" w:h="16838"/>
      <w:pgMar w:left="1985" w:right="567" w:header="709" w:top="1134" w:footer="0" w:bottom="113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DejaVu Sans">
    <w:charset w:val="01"/>
    <w:family w:val="swiss"/>
    <w:pitch w:val="variable"/>
  </w:font>
  <w:font w:name="DejaVu Sans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86685015"/>
    </w:sdtPr>
    <w:sdtContent>
      <w:p>
        <w:pPr>
          <w:pStyle w:val="12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22fd"/>
    <w:pPr>
      <w:widowControl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10"/>
    <w:uiPriority w:val="9"/>
    <w:qFormat/>
    <w:rsid w:val="000d348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3" w:customStyle="1">
    <w:name w:val="Заголовок 3 Знак"/>
    <w:basedOn w:val="DefaultParagraphFont"/>
    <w:link w:val="31"/>
    <w:uiPriority w:val="9"/>
    <w:qFormat/>
    <w:rsid w:val="000d3486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4">
    <w:name w:val="Выделение"/>
    <w:basedOn w:val="DefaultParagraphFont"/>
    <w:uiPriority w:val="20"/>
    <w:qFormat/>
    <w:rsid w:val="000d3486"/>
    <w:rPr>
      <w:i/>
      <w:iCs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45553"/>
    <w:rPr>
      <w:rFonts w:eastAsia="" w:eastAsiaTheme="minorEastAsia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45553"/>
    <w:rPr>
      <w:rFonts w:eastAsia="" w:eastAsiaTheme="minorEastAsia"/>
      <w:lang w:eastAsia="ru-RU"/>
    </w:rPr>
  </w:style>
  <w:style w:type="character" w:styleId="21" w:customStyle="1">
    <w:name w:val="Основной текст (2)_"/>
    <w:basedOn w:val="DefaultParagraphFont"/>
    <w:uiPriority w:val="99"/>
    <w:qFormat/>
    <w:locked/>
    <w:rsid w:val="00db538d"/>
    <w:rPr>
      <w:rFonts w:ascii="Times New Roman" w:hAnsi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4256ad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8" w:customStyle="1">
    <w:name w:val="Интернет-ссылка"/>
    <w:rsid w:val="00cb370e"/>
    <w:rPr>
      <w:color w:val="000080"/>
      <w:u w:val="single"/>
    </w:rPr>
  </w:style>
  <w:style w:type="character" w:styleId="ListLabel4" w:customStyle="1">
    <w:name w:val="ListLabel 4"/>
    <w:qFormat/>
    <w:rsid w:val="00cb370e"/>
    <w:rPr>
      <w:color w:val="auto"/>
      <w:sz w:val="27"/>
      <w:szCs w:val="27"/>
      <w:u w:val="none"/>
    </w:rPr>
  </w:style>
  <w:style w:type="character" w:styleId="ListLabel5">
    <w:name w:val="ListLabel 5"/>
    <w:qFormat/>
    <w:rPr>
      <w:rFonts w:ascii="Times New Roman" w:hAnsi="Times New Roman"/>
      <w:color w:val="auto"/>
      <w:sz w:val="28"/>
      <w:szCs w:val="28"/>
      <w:u w:val="none"/>
      <w:lang w:val="en-US"/>
    </w:rPr>
  </w:style>
  <w:style w:type="character" w:styleId="ListLabel6">
    <w:name w:val="ListLabel 6"/>
    <w:qFormat/>
    <w:rPr>
      <w:rFonts w:ascii="Times New Roman" w:hAnsi="Times New Roman"/>
      <w:color w:val="auto"/>
      <w:sz w:val="28"/>
      <w:szCs w:val="28"/>
      <w:u w:val="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20">
    <w:name w:val="Body Text"/>
    <w:basedOn w:val="Normal"/>
    <w:rsid w:val="00cb370e"/>
    <w:pPr>
      <w:spacing w:before="0" w:after="140"/>
    </w:pPr>
    <w:rPr/>
  </w:style>
  <w:style w:type="paragraph" w:styleId="Style21">
    <w:name w:val="List"/>
    <w:basedOn w:val="Style20"/>
    <w:rsid w:val="00cb370e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211" w:customStyle="1">
    <w:name w:val="Заголовок 21"/>
    <w:basedOn w:val="Normal"/>
    <w:uiPriority w:val="9"/>
    <w:qFormat/>
    <w:rsid w:val="000d348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1" w:customStyle="1">
    <w:name w:val="Заголовок 31"/>
    <w:basedOn w:val="Normal"/>
    <w:link w:val="3"/>
    <w:uiPriority w:val="9"/>
    <w:qFormat/>
    <w:rsid w:val="000d348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1" w:customStyle="1">
    <w:name w:val="Заголовок1"/>
    <w:basedOn w:val="Normal"/>
    <w:next w:val="Style20"/>
    <w:qFormat/>
    <w:rsid w:val="00cb370e"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11" w:customStyle="1">
    <w:name w:val="Название объекта1"/>
    <w:basedOn w:val="Normal"/>
    <w:qFormat/>
    <w:rsid w:val="00cb3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cb370e"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0d22fd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295c3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Spacing">
    <w:name w:val="No Spacing"/>
    <w:uiPriority w:val="1"/>
    <w:qFormat/>
    <w:rsid w:val="00064bd3"/>
    <w:pPr>
      <w:widowControl/>
      <w:bidi w:val="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paragraph" w:styleId="12" w:customStyle="1">
    <w:name w:val="Верхний колонтитул1"/>
    <w:basedOn w:val="Normal"/>
    <w:uiPriority w:val="99"/>
    <w:unhideWhenUsed/>
    <w:qFormat/>
    <w:rsid w:val="00b45553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Нижний колонтитул1"/>
    <w:basedOn w:val="Normal"/>
    <w:uiPriority w:val="99"/>
    <w:semiHidden/>
    <w:unhideWhenUsed/>
    <w:qFormat/>
    <w:rsid w:val="00b45553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b9fe9049761426654245bb2dd862eecmsonormal" w:customStyle="1">
    <w:name w:val="db9fe9049761426654245bb2dd862eecmsonormal"/>
    <w:basedOn w:val="Normal"/>
    <w:qFormat/>
    <w:rsid w:val="002930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293090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2"/>
      <w:szCs w:val="20"/>
      <w:lang w:eastAsia="ru-RU" w:val="ru-RU" w:bidi="ar-SA"/>
    </w:rPr>
  </w:style>
  <w:style w:type="paragraph" w:styleId="212" w:customStyle="1">
    <w:name w:val="Основной текст (2)1"/>
    <w:basedOn w:val="Normal"/>
    <w:link w:val="2"/>
    <w:uiPriority w:val="99"/>
    <w:qFormat/>
    <w:rsid w:val="00db538d"/>
    <w:pPr>
      <w:widowControl w:val="false"/>
      <w:shd w:val="clear" w:color="auto" w:fill="FFFFFF"/>
      <w:spacing w:lineRule="atLeast" w:line="240" w:before="120" w:after="360"/>
      <w:jc w:val="center"/>
    </w:pPr>
    <w:rPr>
      <w:rFonts w:ascii="Times New Roman" w:hAnsi="Times New Roman" w:eastAsia="Calibri" w:cs="Times New Roman" w:eastAsiaTheme="minorHAnsi"/>
      <w:sz w:val="26"/>
      <w:szCs w:val="26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4256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etrgosk.ru/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543F3-77C9-4688-9FDC-1ED1B004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LibreOffice/6.2.8.2$Linux_X86_64 LibreOffice_project/20$Build-2</Application>
  <Pages>3</Pages>
  <Words>650</Words>
  <Characters>5131</Characters>
  <CharactersWithSpaces>5766</CharactersWithSpaces>
  <Paragraphs>29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2021-01-18T12:52:00Z</dcterms:created>
  <dc:creator>Лена</dc:creator>
  <dc:description/>
  <dc:language>ru-RU</dc:language>
  <cp:lastModifiedBy/>
  <cp:lastPrinted>2021-02-01T11:45:41Z</cp:lastPrinted>
  <dcterms:modified xsi:type="dcterms:W3CDTF">2021-02-01T11:46:14Z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городв Ставрополя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