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87" w:type="dxa"/>
        <w:tblInd w:w="5172" w:type="dxa"/>
        <w:tblLayout w:type="fixed"/>
        <w:tblLook w:val="01E0" w:firstRow="1" w:lastRow="1" w:firstColumn="1" w:lastColumn="1" w:noHBand="0" w:noVBand="0"/>
      </w:tblPr>
      <w:tblGrid>
        <w:gridCol w:w="4287"/>
      </w:tblGrid>
      <w:tr w:rsidR="00001C83" w:rsidRPr="00A20160" w:rsidTr="00327A51">
        <w:tc>
          <w:tcPr>
            <w:tcW w:w="4287" w:type="dxa"/>
          </w:tcPr>
          <w:p w:rsidR="00001C83" w:rsidRPr="00A20160" w:rsidRDefault="00001C83" w:rsidP="00C45C09">
            <w:pPr>
              <w:spacing w:after="0" w:line="240" w:lineRule="exact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6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20160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Приложение </w:t>
            </w:r>
          </w:p>
        </w:tc>
      </w:tr>
      <w:tr w:rsidR="00001C83" w:rsidRPr="00A20160" w:rsidTr="00327A51">
        <w:trPr>
          <w:trHeight w:val="1210"/>
        </w:trPr>
        <w:tc>
          <w:tcPr>
            <w:tcW w:w="4287" w:type="dxa"/>
            <w:tcBorders>
              <w:bottom w:val="nil"/>
            </w:tcBorders>
          </w:tcPr>
          <w:p w:rsidR="00001C83" w:rsidRPr="00A20160" w:rsidRDefault="00001C83" w:rsidP="00C45C09">
            <w:pPr>
              <w:spacing w:after="0" w:line="240" w:lineRule="exact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160">
              <w:rPr>
                <w:rFonts w:ascii="Times New Roman" w:hAnsi="Times New Roman" w:cs="Times New Roman"/>
                <w:sz w:val="24"/>
                <w:szCs w:val="24"/>
              </w:rPr>
              <w:t>к прогнозу социально-экономического развития Петровского городского округа Ставропольского края на 2023 год и плановый период 2024 и 2025 годов</w:t>
            </w:r>
          </w:p>
        </w:tc>
      </w:tr>
    </w:tbl>
    <w:p w:rsidR="00001C83" w:rsidRPr="00A20160" w:rsidRDefault="00001C83" w:rsidP="00431D63">
      <w:pPr>
        <w:spacing w:after="0" w:line="240" w:lineRule="exac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01C83" w:rsidRPr="00A20160" w:rsidRDefault="00001C83" w:rsidP="00431D63">
      <w:pPr>
        <w:spacing w:after="0" w:line="240" w:lineRule="exac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01C83" w:rsidRPr="00A20160" w:rsidRDefault="00001C83" w:rsidP="007A76B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01C83" w:rsidRPr="00A20160" w:rsidRDefault="00001C83" w:rsidP="00FD01C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>ПОЯСНИТЕЛЬНАЯ ЗАПИСКА</w:t>
      </w:r>
    </w:p>
    <w:p w:rsidR="00001C83" w:rsidRPr="00A20160" w:rsidRDefault="00001C83" w:rsidP="00BC38B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 xml:space="preserve">к прогнозу </w:t>
      </w:r>
      <w:r w:rsidRPr="00A20160">
        <w:rPr>
          <w:rFonts w:ascii="Times New Roman" w:hAnsi="Times New Roman" w:cs="Times New Roman"/>
          <w:sz w:val="28"/>
          <w:szCs w:val="28"/>
        </w:rPr>
        <w:t>социально-экономического развития Петровского городского округа Ставропольского края на 2023 год</w:t>
      </w:r>
    </w:p>
    <w:p w:rsidR="00001C83" w:rsidRPr="00A20160" w:rsidRDefault="00001C83" w:rsidP="00BC38B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и плановый период 2024 и 2025 годов</w:t>
      </w:r>
    </w:p>
    <w:p w:rsidR="00001C83" w:rsidRPr="00A20160" w:rsidRDefault="00001C83" w:rsidP="00FD01C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01C83" w:rsidRPr="00A20160" w:rsidRDefault="00001C83" w:rsidP="00931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160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 </w:t>
      </w:r>
      <w:r w:rsidRPr="00A20160">
        <w:rPr>
          <w:rFonts w:ascii="Times New Roman" w:hAnsi="Times New Roman" w:cs="Times New Roman"/>
          <w:sz w:val="28"/>
          <w:szCs w:val="28"/>
        </w:rPr>
        <w:t>социально-экономического развития Петровского городского округа Ставропольского края на 2023 год и плановый период 2024 и 2025 годов (далее - Прогноз) разработан на основе анализа тенденций развития экономики Петровского городского округа Ставропольского края (далее – округ) за 2020-2021 годы и сложившейся экономической ситуации к октябрю 2022 года, в соответствии с материалами Министерства экономического развития Российской Федерации, данными Управления Федеральной службы государственной статистики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по Северо-Кавказскому Федеральному округу, данными, представленными отделами и органами администрации петровского городского округа Ставропольского края, предприятиями и организациями, осуществляющими деятельность на территории округа. Кроме того, в текущем году разработка Прогноза осуществлялась с учетом ряда негативных факторов, обусловленных введением в отношении Российской Федерации санкций недружественными государствами. </w:t>
      </w:r>
    </w:p>
    <w:p w:rsidR="00001C83" w:rsidRPr="00A20160" w:rsidRDefault="00001C83" w:rsidP="00931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 разработан </w:t>
      </w:r>
      <w:r w:rsidRPr="00A20160">
        <w:rPr>
          <w:rFonts w:ascii="Times New Roman" w:hAnsi="Times New Roman" w:cs="Times New Roman"/>
          <w:sz w:val="28"/>
          <w:szCs w:val="28"/>
        </w:rPr>
        <w:t xml:space="preserve">в двух вариантах: консервативный и базовый. Различие вариантов обусловлено отличием моделей поведения субъектов предпринимательской деятельности, перспективами повышения конкурентоспособности и эффективностью производства основных видов продукции, возможности сохранения и усиления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са</w:t>
      </w:r>
      <w:bookmarkStart w:id="0" w:name="_GoBack"/>
      <w:bookmarkEnd w:id="0"/>
      <w:r w:rsidRPr="00A20160">
        <w:rPr>
          <w:rFonts w:ascii="Times New Roman" w:hAnsi="Times New Roman" w:cs="Times New Roman"/>
          <w:sz w:val="28"/>
          <w:szCs w:val="28"/>
        </w:rPr>
        <w:t>нкционного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давления со стороны недружественных стран, а также возможного влияния ограничений, связанных с новой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инфекцией </w:t>
      </w:r>
      <w:r w:rsidRPr="00A20160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20160">
        <w:rPr>
          <w:rFonts w:ascii="Times New Roman" w:hAnsi="Times New Roman" w:cs="Times New Roman"/>
          <w:sz w:val="28"/>
          <w:szCs w:val="28"/>
        </w:rPr>
        <w:t xml:space="preserve">-19. </w:t>
      </w:r>
    </w:p>
    <w:p w:rsidR="00001C83" w:rsidRPr="00A20160" w:rsidRDefault="00001C83" w:rsidP="00931F6F">
      <w:pPr>
        <w:pStyle w:val="a3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Консервативный вариант предполагает экономическую неопределенность, сокращение объема производства основной промышленной и сельскохозяйственной продукции, объемов инвестиций, сокращение численности населения округа.</w:t>
      </w:r>
    </w:p>
    <w:p w:rsidR="00001C83" w:rsidRPr="00A20160" w:rsidRDefault="00001C83" w:rsidP="00931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В базовый вариант заложена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проактивная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экономическая политика. В частности предполагается: рост темпов производства по основным видам экономической деятельности; более активная инвестиционная политика крупных и средних предприятий округа, а также субъектов малого предпринимательства и индивидуальных предпринимателей; снижение уровня регистрируемой безработицы, незначительный рост демографических показателей.</w:t>
      </w:r>
    </w:p>
    <w:p w:rsidR="00001C83" w:rsidRPr="00A20160" w:rsidRDefault="00001C83" w:rsidP="009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9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931F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оценка социально-экономической ситуации</w:t>
      </w:r>
    </w:p>
    <w:p w:rsidR="00001C83" w:rsidRPr="00A20160" w:rsidRDefault="00001C83" w:rsidP="00931F6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По статистическим данным оборот крупных и средних предприятий, отражающий их коммерческую деятельность, за январь - сентябрь 2022 года достиг 22988,9 млн. рублей, что в 1,2 раза превышает показатель аналогичного периода 2021 года, на долю промышленности и сельского хозяйства приходится около 47,9% оборота. </w:t>
      </w:r>
    </w:p>
    <w:p w:rsidR="00001C83" w:rsidRPr="00A20160" w:rsidRDefault="00001C83" w:rsidP="00931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Сальдированный финансовый результат деятельности крупных и средних предприятий за январь - август 2022 года сложился </w:t>
      </w:r>
      <w:proofErr w:type="gramStart"/>
      <w:r w:rsidRPr="00A20160">
        <w:rPr>
          <w:rFonts w:ascii="Times New Roman" w:hAnsi="Times New Roman" w:cs="Times New Roman"/>
          <w:sz w:val="28"/>
          <w:szCs w:val="28"/>
        </w:rPr>
        <w:t>положительным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и составил 893,8 млн. рублей при темпе роста к показателю предыдущего года 35,0%. Прибыльна деятельность 70,0% предприятий округа. В округе отсутствует просроченная задолженность по заработной плате.</w:t>
      </w:r>
    </w:p>
    <w:p w:rsidR="00001C83" w:rsidRPr="00A20160" w:rsidRDefault="00001C83" w:rsidP="00931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По состоянию на 01 октября 2022 года доходная часть бюджета Петровского городского округа Ставропольского края (далее - местный бюджет) исполнена на 65,4% к годовым бюджетным назначениям (запланировано 2647,4 млн. рублей). Кассовое исполнение бюджета округа сложилось в сумме 1873,8 млн. рублей или 61,1% к уточненному годовому плану.</w:t>
      </w:r>
    </w:p>
    <w:p w:rsidR="00001C83" w:rsidRPr="00A20160" w:rsidRDefault="00001C83" w:rsidP="00931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В рамках реализации 14 муниципальных программ Петровского городского округа Ставропольского края (далее - муниципальные программы) осуществляются мероприятия региональных проектов Ставропольского края, обеспечена деятельность учреждений образования, культуры, спорта, развивается социальная инфраструктура, идет благоустройство населенных пунктов округа.</w:t>
      </w:r>
    </w:p>
    <w:p w:rsidR="00001C83" w:rsidRPr="00A20160" w:rsidRDefault="00001C83" w:rsidP="00FF73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>Промышленное производство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Производство промышленной продукции на территории округа представлено добычей полезных ископаемых, обрабатывающими производствами, обеспечением электрической энергией, газом и паром, водоснабжением, водоотведением, организацией сбора и утилизации отходов, деятельностью по ликвидации загрязнений.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(далее - объем отгруженных товаров) промышленных предприятий по состоянию на 01 октября 2022 года увеличился до 8445,3 млн. рублей или в 1,8 раза (в среднем по краю 114,1%). Ожидается, что по итогам отчетного года данный показатель достигнет 11060,45 млн. рублей при темпе роста к показателю 2021 года 178,87% (в действующих ценах).</w:t>
      </w:r>
    </w:p>
    <w:p w:rsidR="00001C83" w:rsidRPr="00A20160" w:rsidRDefault="00001C83" w:rsidP="007B7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На долю обрабатывающих производств в объеме отгруженных товаров собственного производства промышленных предприятий приходится 68,8% (за 9 месяцев 2021 года - 47,9%). Объем продукции, отгруженной обрабатывающими предприятиями, за январь - сентябрь 2022 года достиг 5812,7 млн. рублей, что в 2,6 раза превышает показатель аналогичного периода 2021 года (в среднем по краю 115,8%). Существенный рост показателя обусловлен увеличением объемов производств</w:t>
      </w:r>
      <w:proofErr w:type="gramStart"/>
      <w:r w:rsidRPr="00A20160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Светлоградский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маслоэкстракционный завод». По итогам 2022 года данный </w:t>
      </w:r>
      <w:r w:rsidRPr="00A20160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показатель прогнозируется на уровне 7750,24 млн. рублей или 246,93% к показателю 2021 года (в действующих ценах). 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По расчетам в прогнозируемом периоде будет отмечаться положительная динамика развития промышленного производства. Ожидается, что в 2025 году темп роста по отношению к 2021 году составит 212,27% (в действующих ценах), значение показателя достигнет 13125,72</w:t>
      </w:r>
      <w:r w:rsidRPr="00A2016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A20160">
        <w:rPr>
          <w:rFonts w:ascii="Times New Roman" w:hAnsi="Times New Roman" w:cs="Times New Roman"/>
          <w:sz w:val="28"/>
          <w:szCs w:val="28"/>
        </w:rPr>
        <w:t>млн. рублей, на долю обрабатывающих производств будет приходиться 63,72% общего объема промышленной продукции.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Росту промышленного производства в прогнозном периоде будет способствовать реализация национального проекта «Повышение производительности труда и поддержка занятости в ОАО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Светлоградагромаш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» и в ООО «ДСК «ГРАС-Светлоград», ввод в эксплуатацию АО «ВетроОГК-2»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Берестовской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ВЭС», а также выход на новые рынки сбыта. Негативное влияние на рост производства может оказать более жесткое применение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режима со стороны недружественных стран, ограничивающие доступ к новым технологиям и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обрудованию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160">
        <w:rPr>
          <w:rFonts w:ascii="Times New Roman" w:hAnsi="Times New Roman" w:cs="Times New Roman"/>
          <w:sz w:val="28"/>
          <w:szCs w:val="28"/>
        </w:rPr>
        <w:t>Прогноз в сфере сельского хозяйства разработан с учетом целевых индикаторов, предусмотренных Соглашением между администрацией Петровского городского округа Ставропольского края и министерством сельского хозяйства Ставропольского края по реализации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 717, государственной программы Ставропольского края «Развитие сельского хозяйства», утвержденной постановлением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28 декабря 2018 г. № 620-п, с учетом реализации в округе инвестиционных проектов в области сельского хозяйства.</w:t>
      </w:r>
    </w:p>
    <w:p w:rsidR="00001C83" w:rsidRPr="00A20160" w:rsidRDefault="00001C83" w:rsidP="00FF73E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За основу при разработке прогноза взяты статистические данные за 2021 год и оперативные данные 2022 года о производстве основных видов сельскохозяйственной продукции.</w:t>
      </w:r>
    </w:p>
    <w:p w:rsidR="00001C83" w:rsidRPr="00A20160" w:rsidRDefault="00001C83" w:rsidP="000E06D8">
      <w:pPr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FFF00"/>
        </w:rPr>
      </w:pPr>
      <w:proofErr w:type="gramStart"/>
      <w:r w:rsidRPr="00A20160">
        <w:rPr>
          <w:rFonts w:ascii="Times New Roman" w:hAnsi="Times New Roman" w:cs="Times New Roman"/>
          <w:sz w:val="28"/>
          <w:szCs w:val="28"/>
        </w:rPr>
        <w:t>По оперативным данным сельскохозяйственными предприятиями округа в отчетном году собрано 420,0 тыс. тонн зерновых и зернобобовых культур (включая кукурузу на зерно) при средней урожайности 35,5 ц/га (в 2021 году 474,8 тыс. тонн (в весе после доработки) при средней урожайности 37,3 ц/га), масличных культур собрано 46,8 тыс. тонн при средней урожайности 13,1 ц/га (в 2021 году - 46,4 тыс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. тонн и 15,2 ц/га соответственно). Объем производства продукции растениеводства по итогам 2022 года прогнозируется на уровне 9429,63 млн. рублей, что составляет 88,07% к показателю 2021 года (в сопоставимых ценах). К концу 2025 года прогнозируется увеличение данного показателя до 10416,98 млн. рублей. </w:t>
      </w:r>
      <w:r w:rsidRPr="00A20160">
        <w:rPr>
          <w:rFonts w:ascii="Times New Roman" w:hAnsi="Times New Roman" w:cs="Times New Roman"/>
          <w:sz w:val="28"/>
          <w:szCs w:val="28"/>
          <w:lang w:eastAsia="en-US"/>
        </w:rPr>
        <w:t xml:space="preserve">Ожидается, что на протяжении всего прогнозного периода доля </w:t>
      </w:r>
      <w:r w:rsidRPr="00A2016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растениеводства в продукции сельского хозяйства будет составлять около 72,00%.</w:t>
      </w:r>
    </w:p>
    <w:p w:rsidR="00001C83" w:rsidRPr="00A20160" w:rsidRDefault="00001C83" w:rsidP="000E06D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20160">
        <w:rPr>
          <w:rFonts w:ascii="Times New Roman" w:hAnsi="Times New Roman" w:cs="Times New Roman"/>
          <w:sz w:val="28"/>
          <w:szCs w:val="28"/>
        </w:rPr>
        <w:t>По оценке в хозяйствах всех категорий на 01 октября 2022 года содержалось: крупного рогатого скота 10,7 тыс. голов, в том числе 5,1 тыс. голов коров дойного стада, свиней 9,8 тыс. голов, овец 16,2 тыс. голов, около 1,6 млн. голов птицы. По итогам отчетного года ожидается, что объем продукции животноводства в хозяйствах всех категорий составит 3613,80 млн. рублей при темпе роста 91,31% (в сопоставимых ценах) к показателю 2021 года, а к 2025 году увеличится до 4048,99 млн. рублей.</w:t>
      </w:r>
    </w:p>
    <w:p w:rsidR="00001C83" w:rsidRPr="00A20160" w:rsidRDefault="00001C83" w:rsidP="000E0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По итогам 2022 года ожидается, что объем продукции сельского хозяйства в хозяйствах всех категорий достигнет 13043,43 млн. рублей. При сохранении темпов поступления инвестиций и увеличении объемов государственной поддержки </w:t>
      </w:r>
      <w:r w:rsidRPr="00A20160">
        <w:rPr>
          <w:rFonts w:ascii="Times New Roman" w:hAnsi="Times New Roman" w:cs="Times New Roman"/>
          <w:sz w:val="28"/>
          <w:szCs w:val="28"/>
          <w:lang w:eastAsia="en-US"/>
        </w:rPr>
        <w:t xml:space="preserve">к 2025 году производство продукции сельского хозяйства в хозяйствах всех категорий ожидается в сумме 14465,97 млн. рублей (в базовом варианте) при темпе роста 108,14% (в действующих ценах) к 2021 году. </w:t>
      </w: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001C83" w:rsidRPr="00A20160" w:rsidRDefault="00001C83" w:rsidP="000E0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По данным мониторинга объем инвестиций в основной капитал по полному кругу хозяйствующих субъектов округа (без учета бюджетных инвестиций) за </w:t>
      </w:r>
      <w:r w:rsidRPr="00A20160">
        <w:rPr>
          <w:rFonts w:ascii="Times New Roman" w:hAnsi="Times New Roman" w:cs="Times New Roman"/>
          <w:sz w:val="28"/>
          <w:szCs w:val="28"/>
          <w:lang w:eastAsia="en-US"/>
        </w:rPr>
        <w:t xml:space="preserve">9 месяцев </w:t>
      </w:r>
      <w:r w:rsidRPr="00A20160">
        <w:rPr>
          <w:rFonts w:ascii="Times New Roman" w:hAnsi="Times New Roman" w:cs="Times New Roman"/>
          <w:sz w:val="28"/>
          <w:szCs w:val="28"/>
        </w:rPr>
        <w:t>2022 года составил 7241,2 млн. рублей, что превышает показатель аналогичного периода 2021 года в 3,5 раза (2065,3 млн. рублей). На начало 2022 года на территории округа шла реализация 14 инвестиционных проектов, из них 13 проектов реализуют субъекты малого предпринимательства с сопровождением по принципу «одного окна», в течени</w:t>
      </w:r>
      <w:proofErr w:type="gramStart"/>
      <w:r w:rsidRPr="00A2016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9 месяцев отчетного года реализованы 2 проекта: </w:t>
      </w:r>
    </w:p>
    <w:p w:rsidR="00001C83" w:rsidRPr="00A20160" w:rsidRDefault="00001C83" w:rsidP="001A6F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FFF00"/>
        </w:rPr>
      </w:pPr>
      <w:proofErr w:type="gramStart"/>
      <w:r w:rsidRPr="00A20160">
        <w:rPr>
          <w:rFonts w:ascii="Times New Roman" w:hAnsi="Times New Roman" w:cs="Times New Roman"/>
          <w:sz w:val="28"/>
          <w:szCs w:val="28"/>
        </w:rPr>
        <w:t>- «Модернизация производства по переработке винограда и изготовление спиртосодержащей продукции (виноматериалы виноградные, виноматериалы фруктовые (плодовые))», инициатор - ООО «Агрофирма «Жемчужина Ставрополья», место реализации г. Светлоград.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За время реализации данного проекта создано 19 рабочих мест и освоено 96,8 млн. рублей;</w:t>
      </w:r>
    </w:p>
    <w:p w:rsidR="00001C83" w:rsidRPr="00A20160" w:rsidRDefault="00001C83" w:rsidP="001A6F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- «Строительство системы орошения площадью 2500 га на земельном участке 5000 га для ООО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Иррико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-Холдинг», место реализации с. Гофицкое. За время реализации данного проекта создано 28 рабочих мест и освоено 826,5 млн. рублей. </w:t>
      </w:r>
    </w:p>
    <w:p w:rsidR="00001C83" w:rsidRPr="00A20160" w:rsidRDefault="00001C83" w:rsidP="00ED1D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По итогам 2022 года прогнозный объем инвестиций крупных и средних предприятий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оценивается в сумме 7671,90 млн. рублей или 244,46% (в сопоставимых ценах) к аналогичному показателю 2021 года.</w:t>
      </w:r>
    </w:p>
    <w:p w:rsidR="00001C83" w:rsidRPr="00A20160" w:rsidRDefault="00001C83" w:rsidP="000E0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В связи с завершением в отчетном году реализации наиболее крупных инвестиционных проектов ООО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Иррико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-Холдинг» и АО «ВетроОГК-2» в 2023 году прогнозируется снижение объемов инвестиций предприятий и </w:t>
      </w:r>
      <w:r w:rsidRPr="00A20160">
        <w:rPr>
          <w:rFonts w:ascii="Times New Roman" w:hAnsi="Times New Roman" w:cs="Times New Roman"/>
          <w:sz w:val="28"/>
          <w:szCs w:val="28"/>
        </w:rPr>
        <w:lastRenderedPageBreak/>
        <w:t>организаций, не относящихся к субъектам малого предпринимательства, до 3373,4 млн. рулей. По расчетам к 2025 году объем инвестиций в основной капитал крупных и средних предприятий в базовом варианте достигнет 3718,00 млн. рублей или 120,69 % к показателю 2021 года (в действующих ценах). В 2023 - 2025 годах предприятиями округа (ООО «НД-Техник», ОАО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Светлоградагромаш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», ООО «ДСК «ГРАС-Светлоград», ГАП «Ресурс», ООО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Светлоградский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маслоэкстракционный завод», филиал ГУП СК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Ставропольэлектросеть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» г. Светлоград, Петровский филиал ГУП СК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Крайтеплоэнерго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», АО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Светлоградрайгаз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») планируется инвестировать в модернизацию производства 1488,17 млн. рублей.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Основными факторами, сдерживающими инвестиционное развитие округа, остаются дефицит энергоресурсов (отсутствие свободных мощностей водоснабжения) и необходимой инженерной инфраструктуры, но, несмотря на это, в прогнозируемом периоде хозяйствующими субъектами будет продолжена модернизация действующих производств и создание новых, будет продолжена реализация инвестиционных проектов. 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>Строительство</w:t>
      </w:r>
    </w:p>
    <w:p w:rsidR="00001C83" w:rsidRPr="00A20160" w:rsidRDefault="00001C83" w:rsidP="004A33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По виду экономической деятельности «Строительство» в отчетном периоде выполнено работ на сумму 853,4 млн. рублей (в аналогичном периоде 2021 года - 84,5 млн. рублей). Рост показателя произошел за счет строительства на территории округа АО «ВетроОГК-2»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Берестовской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ВЭС» мощностью 60 МВт и системы орошения площадью 2500 га на земельном участке 5000 га для ООО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Иррико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-Холдинг». По итогам 2022 года объем работ, выполненных по виду деятельности «Строительство» оценивается в 1358,3 млн. рублей или 1007,94% к 2021 году в (сопоставимых ценах).</w:t>
      </w:r>
    </w:p>
    <w:p w:rsidR="00001C83" w:rsidRPr="00A20160" w:rsidRDefault="00001C83" w:rsidP="006C71BD">
      <w:pPr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FFF00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За январь - сентябрь 2022 года индивидуальными застройщиками введены в эксплуатацию 7039 кв. м. жилых площадей, темп роста к показателю аналогичного периода 2021 года 104,3%. Ожидается, что по итогам текущего года будет введено в действие 8,2 тыс.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. общей площади жилых домов (в 2021 году –7,76 тыс. кв. м.). К 2025 году в базовом варианте значение показателя составит 8,5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 xml:space="preserve">Малое и среднее предпринимательство. </w:t>
      </w: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:rsidR="00001C83" w:rsidRPr="00A20160" w:rsidRDefault="00001C83" w:rsidP="004919F6">
      <w:pPr>
        <w:spacing w:after="0" w:line="240" w:lineRule="auto"/>
        <w:ind w:firstLine="708"/>
        <w:jc w:val="both"/>
        <w:rPr>
          <w:rFonts w:ascii="Times New Roman" w:hAnsi="Times New Roman" w:cs="Times New Roman"/>
          <w:shd w:val="clear" w:color="auto" w:fill="FFFF00"/>
        </w:rPr>
      </w:pPr>
      <w:r w:rsidRPr="00A20160">
        <w:rPr>
          <w:rFonts w:ascii="Times New Roman" w:hAnsi="Times New Roman" w:cs="Times New Roman"/>
          <w:sz w:val="28"/>
          <w:szCs w:val="28"/>
        </w:rPr>
        <w:t>По официальным статистическим данным по состоянию на 01 октября 2022 года на территории округа осуществляли деятельность 2100 хозяйствующих субъектов, в том числе 1867 субъектов малого и среднего бизнеса (далее - субъект МСП). Кроме того, по данным Межрайонной ИФНС России № 3 по Ставропольскому краю, 1701 налогоплательщик, состоящий на учете по месту жительства в округе, применяет специальный налоговый режим «Налог на профессиональный доход».</w:t>
      </w:r>
    </w:p>
    <w:p w:rsidR="00001C83" w:rsidRPr="00A20160" w:rsidRDefault="00001C83" w:rsidP="006C7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По оценке в среднесрочной перспективе сохранится стабильная ситуация в сфере развития малого и среднего предпринимательства. По оценке в 2025 году их число предприятий МСП (включая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) </w:t>
      </w:r>
      <w:r w:rsidRPr="00A20160">
        <w:rPr>
          <w:rFonts w:ascii="Times New Roman" w:hAnsi="Times New Roman" w:cs="Times New Roman"/>
          <w:sz w:val="28"/>
          <w:szCs w:val="28"/>
        </w:rPr>
        <w:lastRenderedPageBreak/>
        <w:t>достигнет 198 единиц или 106,45% к уровню 2022 года, а среднесписочная численность работников на этих предприятиях к концу 2025 года увеличится до 2,9 тыс. человек.</w:t>
      </w:r>
    </w:p>
    <w:p w:rsidR="00001C83" w:rsidRPr="00A20160" w:rsidRDefault="00001C83" w:rsidP="006C7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В течение прогнозного периода оборот МСП (включая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) сохранится на уровне 2021 года – немногим более 13 млрд. рублей. 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По оценке, объем розничного товарооборота предприятий, не относящихся к субъектам малого и среднего предпринимательства, в 2022 году увеличится на 22,0% (в действующих ценах) и составит 2484,23 млн. рублей. В прогнозном периоде ожидается рост значений данного показателя, к 2025 году он достигнет 2772,61 млн. рублей или 136,16% (в действующих ценах) к аналогичному показателю 2021 года.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По расчетам индекс потребительских цен в среднегодовом исчислении в отчетном году составит 109,28% (в сопоставимых ценах к предыдущему году), в 2025 году этот сократится до 104,0% (в сопоставимых ценах к предыдущему году).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Ожидается, что объем платных услуг, оказанных населению предприятиями, не относящимися к субъектам малого и среднего предпринимательства, по итогам отчетного года составит 3582,17 млн. рублей или263,07% (в сопоставимых ценах) к значению 2021 года. Стабилизация экономической ситуации, расширение видов услуг, плановый рост тарифов на услуги ЖКХ будут способствовать росту платных услуг населению, к 2025 году этот показатель увеличится до 3931,37 млн. рублей.</w:t>
      </w:r>
    </w:p>
    <w:p w:rsidR="00001C83" w:rsidRPr="00A20160" w:rsidRDefault="00001C83" w:rsidP="00FF73EA">
      <w:pPr>
        <w:pStyle w:val="2"/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1C83" w:rsidRPr="00A20160" w:rsidRDefault="00001C83" w:rsidP="00FF73EA">
      <w:pPr>
        <w:pStyle w:val="2"/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>Уровень жизни населения. Труд и занятость</w:t>
      </w:r>
    </w:p>
    <w:p w:rsidR="00001C83" w:rsidRPr="00A20160" w:rsidRDefault="00001C83" w:rsidP="00FF73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За январь - август 2022 года среднесписочная численность работников организаций, не относящихся к субъектам МСП, осталась на уровне этого же периода 2021 года и составила 10,3 тыс. человек. Ожидается, что к концу 2022 года значение показателя возрастет до 10,70 тыс. человек, этому будут способствовать ввод новых мощностей ООО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Светлоградский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маслоэкстракционный завод», ввод в эксплуатацию системы орошения ООО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Иррико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>-Холдинг», и АО «ВетроОГК-2» «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Берестовской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ВЭС», модернизация производства по переработке винограда и изготовление спиртосодержащей спиртовой продукции ОАО «Агрофирма» Жемчужина Ставрополья». К концу прогнозного периода ожидается увеличение среднесписочной численности работников организаций, не относящихся к субъектам МСП, до 10,9 тыс. человек. </w:t>
      </w:r>
    </w:p>
    <w:p w:rsidR="00001C83" w:rsidRPr="00A20160" w:rsidRDefault="00001C83" w:rsidP="003824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списочного состава организаций, не относящихся к субъектам МСП, за январь - август 2022 года увеличилась до 37745,2 рублей при темпе роста 120,8% к показателю аналогичного периода прошлого года. Ожидается, что по итогам 2022 года значение показателя достигнет 38622,40 рубля при темпе роста 119,25% к уровню 2021 года. По расчетам к 2025 году этот показатель увеличится на 43,83% в сравнении с 2021 годом и составит 46583,07 рублей.</w:t>
      </w:r>
    </w:p>
    <w:p w:rsidR="00001C83" w:rsidRPr="00A20160" w:rsidRDefault="00001C83" w:rsidP="00FF73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В 2022 году прогнозируется увеличение фонда заработной платы </w:t>
      </w:r>
      <w:r w:rsidRPr="00A20160">
        <w:rPr>
          <w:rFonts w:ascii="Times New Roman" w:hAnsi="Times New Roman" w:cs="Times New Roman"/>
          <w:sz w:val="28"/>
          <w:szCs w:val="28"/>
        </w:rPr>
        <w:lastRenderedPageBreak/>
        <w:t>работников организаций на 19,22% в сравнении с 2021 годом или до 4959,12 млн. рублей. К 2025 году фонд заработной платы работников организаций достигнет 6093,07 млн. рублей.</w:t>
      </w:r>
    </w:p>
    <w:p w:rsidR="00001C83" w:rsidRPr="00A20160" w:rsidRDefault="00001C83" w:rsidP="00D81D5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Численность официально зарегистрированных безработных по оценке ГКУ «Центр занятости населения Петровского района» к концу 2022 года составит 0,4 тыс. человек. </w:t>
      </w:r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>В 2023 году прогнозируется незначительный рост этого показателя, он составит 0,5 тыс. человек. В 2024-2025 годах данный показатель стабилизируется на отметке</w:t>
      </w:r>
      <w:r w:rsidRPr="00A20160">
        <w:rPr>
          <w:rFonts w:ascii="Times New Roman" w:hAnsi="Times New Roman" w:cs="Times New Roman"/>
          <w:sz w:val="28"/>
          <w:szCs w:val="28"/>
        </w:rPr>
        <w:t xml:space="preserve"> 0,4 тыс. человек.  </w:t>
      </w:r>
    </w:p>
    <w:p w:rsidR="00001C83" w:rsidRPr="00A20160" w:rsidRDefault="00001C83" w:rsidP="00FF73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За 9 месяцев 2022 года наблюдается снижение уровня зарегистрированной безработицы, ожидается, что этот показатель сократится с 2,12% в 2021 году до 1,3% в отчетном году. В 2023 году прогнозируется незначительный рост данного показателя до 1,4%, но уже к концу 2025 года уровень зарегистрированной безработицы вернется к значениям 2022 года. </w:t>
      </w:r>
    </w:p>
    <w:p w:rsidR="00001C83" w:rsidRPr="00A20160" w:rsidRDefault="00001C83" w:rsidP="00FF73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оценке, численность занятых в экономике к концу прогнозного периода превысит значение 2021 года на 1,37 тыс. человек и достигнет 17,31 тыс. человек. Рост занятости будет обеспечен в </w:t>
      </w:r>
      <w:proofErr w:type="spellStart"/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>т.ч</w:t>
      </w:r>
      <w:proofErr w:type="spellEnd"/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>. и расширением границ трудоспособного возраста.</w:t>
      </w:r>
    </w:p>
    <w:p w:rsidR="00001C83" w:rsidRPr="00A20160" w:rsidRDefault="00001C83" w:rsidP="00FF73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</w:rPr>
        <w:t>Демография</w:t>
      </w:r>
    </w:p>
    <w:p w:rsidR="00001C83" w:rsidRPr="00A20160" w:rsidRDefault="00001C83" w:rsidP="00D81D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На протяжении ряда последних лет в округе сохраняется негативная демографическая ситуация. В течени</w:t>
      </w:r>
      <w:proofErr w:type="gramStart"/>
      <w:r w:rsidRPr="00A2016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2022 года отмечалось </w:t>
      </w:r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устойчивое снижение интенсивности заболеваемости и смертности от новой </w:t>
      </w:r>
      <w:proofErr w:type="spellStart"/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коронавирусной</w:t>
      </w:r>
      <w:proofErr w:type="spellEnd"/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инфекции COVID-19</w:t>
      </w:r>
      <w:r w:rsidRPr="00A20160">
        <w:rPr>
          <w:rFonts w:ascii="Times New Roman" w:hAnsi="Times New Roman" w:cs="Times New Roman"/>
          <w:sz w:val="28"/>
          <w:szCs w:val="28"/>
        </w:rPr>
        <w:t xml:space="preserve">. </w:t>
      </w:r>
      <w:r w:rsidRPr="00A20160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того, благодаря принимаемым мерам Правительства Российской Федерации в области демографии,</w:t>
      </w:r>
      <w:r w:rsidRPr="00A20160">
        <w:rPr>
          <w:rFonts w:ascii="Times New Roman" w:hAnsi="Times New Roman" w:cs="Times New Roman"/>
          <w:sz w:val="28"/>
          <w:szCs w:val="28"/>
        </w:rPr>
        <w:t xml:space="preserve"> предоставлением мер социальной поддержки семьям с детьми в виде ежемесячной денежной выплаты, назначаемой в случае рождения третьего ребенка или последующих детей до достижения ребенком возраста трех лет; осуществление ежемесячной выплаты в связи с рождением (усыновлением) первого ребенка и др., в отчетном году ожидается снижение общего коэффициента смертности 16,05 человек на 1,00 тыс. населения (в 2021 году 19,75человек на 1,00 тыс. населения).</w:t>
      </w:r>
    </w:p>
    <w:p w:rsidR="00001C83" w:rsidRPr="00A20160" w:rsidRDefault="00001C83" w:rsidP="00FF73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 xml:space="preserve">По расчетам к концу 2025 года общий коэффициент рождаемости населения увеличится до 8,65 на 1,0 тыс. человек населения, а общий коэффициент смертности сократится до 13,05 на 1,0 тыс. населения. </w:t>
      </w:r>
    </w:p>
    <w:p w:rsidR="00001C83" w:rsidRPr="00A20160" w:rsidRDefault="00001C83" w:rsidP="00FF73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Миграционный прирост за 9 месяцев отчетного года составил 0,015 тыс. человек, при сохранении действующих тенденций к 2025 году прогнозируется м</w:t>
      </w:r>
      <w:r w:rsidRPr="00A20160">
        <w:rPr>
          <w:rFonts w:ascii="Times New Roman" w:hAnsi="Times New Roman" w:cs="Times New Roman"/>
          <w:sz w:val="28"/>
          <w:szCs w:val="28"/>
          <w:lang w:eastAsia="en-US"/>
        </w:rPr>
        <w:t>играционный прирост до 0,20 тыс. человек.</w:t>
      </w:r>
    </w:p>
    <w:p w:rsidR="00001C83" w:rsidRPr="00A20160" w:rsidRDefault="00001C83" w:rsidP="00FF73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  <w:lang w:eastAsia="en-US"/>
        </w:rPr>
      </w:pPr>
    </w:p>
    <w:p w:rsidR="00001C83" w:rsidRPr="00A20160" w:rsidRDefault="00001C83" w:rsidP="00FF7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Бюджет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Общий объем доходов бюджета Петровского городского округа Ставропольского края (далее - бюджет округа) на 2022 год запланирован в сумме 2647,37 млн. рублей, значение показателя на 2023 год 2370,80 млн. рублей. На долю налоговых и не налоговых доходов бюджета округа в 2022 году приходится 21,86% доходов бюджета округа.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lastRenderedPageBreak/>
        <w:t>Общий объем расходов бюджета округа на 2022 год оценивается в 3084,23 млн. рублей. Расходная часть бюджета округа сформирована на основе 14 муниципальных программ, охватывающих все сферы деятельности органов местного самоуправления.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Ожидается, что в 2022 году дефицит бюджета округа составит 429,09 млн. рублей, в 2023 году сократится до 3,53 млн. рублей, до конца прогнозного периода дефицит бюджета округа прогнозируется на уровне 6,63 млн. рублей.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160">
        <w:rPr>
          <w:rFonts w:ascii="Times New Roman" w:hAnsi="Times New Roman" w:cs="Times New Roman"/>
          <w:sz w:val="28"/>
          <w:szCs w:val="28"/>
        </w:rPr>
        <w:t>Единый норматив отчислений в бюджеты городских округов Ставропольского края от налога на доходы физических лиц составляет 27 %. Решением Совета депутатов Петровского городского округа Ставропольского края от 10.12.2020 г. № 103 20% дотации на выравнивание уровня бюджетной обеспеченности из краевого Фонда финансовой поддержки муниципальных районов (городских округов) на 2022 год в сумме 105,06 млн. рублей заменены дополнительным нормативом отчислений от налога на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доходы физических лиц в размере 16,53%. Таким образом, в бюджет городского округа налог на доходы физических лиц в 2022 году поступает по нормативу 41,89%. По сравнению с 2021 годом произошло снижение норматива отчислений на 1,64%. 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160">
        <w:rPr>
          <w:rFonts w:ascii="Times New Roman" w:hAnsi="Times New Roman" w:cs="Times New Roman"/>
          <w:sz w:val="28"/>
          <w:szCs w:val="28"/>
        </w:rPr>
        <w:t>Законом Ставропольского края от 07.12.2021 г. № 119-кз «О бюджете Ставропольского края на 2022 год и плановый период 2023 и 2024 годов» утвержден дифференцированный норматив отчислений в бюджет городского округа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Российской Федерации, на 2022 год 0,4950242%. </w:t>
      </w:r>
      <w:proofErr w:type="gramEnd"/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>Основные характеристики бюджета на 2023 год и плановый период 2024 и 2025 годов сформированы с учетом обязательств, направленных на обеспечение сбалансированности бюджета Петровского городского округа Ставропольского края.</w:t>
      </w:r>
    </w:p>
    <w:p w:rsidR="00001C83" w:rsidRPr="00A20160" w:rsidRDefault="00001C83" w:rsidP="00FF7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Приоритетом при формировании бюджетных ассигнований на </w:t>
      </w:r>
      <w:r w:rsidRPr="00A20160">
        <w:rPr>
          <w:rFonts w:ascii="Times New Roman" w:hAnsi="Times New Roman" w:cs="Times New Roman"/>
          <w:sz w:val="28"/>
          <w:szCs w:val="28"/>
          <w:lang w:eastAsia="en-US"/>
        </w:rPr>
        <w:t>2023 год и плановый период 2024 и 2025 годов являлось обеспечение в первоочередном порядке мер, направленных на</w:t>
      </w:r>
      <w:r w:rsidRPr="00A20160">
        <w:rPr>
          <w:rFonts w:ascii="Times New Roman" w:hAnsi="Times New Roman" w:cs="Times New Roman"/>
          <w:sz w:val="28"/>
          <w:szCs w:val="28"/>
        </w:rPr>
        <w:t xml:space="preserve"> повышение эффективности расходов бюджета:</w:t>
      </w:r>
    </w:p>
    <w:p w:rsidR="00001C83" w:rsidRPr="00A20160" w:rsidRDefault="00001C83" w:rsidP="00FF7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проведение ответственной бюджетной политики, способствующей обеспечению долгосрочной сбалансированности и устойчивости бюджетной системы Петровского городского округа Ставропольского края и формированию условий для ускорения темпов экономического роста, укреплению финансовой стабильности в Петровском городском округе Ставропольского края;</w:t>
      </w:r>
    </w:p>
    <w:p w:rsidR="00001C83" w:rsidRPr="00A20160" w:rsidRDefault="00001C83" w:rsidP="00FF7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финансами, эффективности расходования бюджетных средств, строгое соблюдение бюджетно-финансовой дисциплины всеми главными распорядителями и получателями бюджетных средств;</w:t>
      </w:r>
    </w:p>
    <w:p w:rsidR="00001C83" w:rsidRPr="00A20160" w:rsidRDefault="00001C83" w:rsidP="00FF7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</w:t>
      </w:r>
      <w:proofErr w:type="gramStart"/>
      <w:r w:rsidRPr="00A20160">
        <w:rPr>
          <w:rFonts w:ascii="Times New Roman" w:hAnsi="Times New Roman" w:cs="Times New Roman"/>
          <w:sz w:val="28"/>
          <w:szCs w:val="28"/>
        </w:rPr>
        <w:t>эффективности реализации муниципальных программ Петровского городского округа Ставропольского края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и качества системы целеполагания муниципальных программ;</w:t>
      </w:r>
    </w:p>
    <w:p w:rsidR="00001C83" w:rsidRPr="00A20160" w:rsidRDefault="00001C83" w:rsidP="00FF7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недопущение кредиторской задолженности по заработной плате и социальным выплатам;</w:t>
      </w:r>
    </w:p>
    <w:p w:rsidR="00001C83" w:rsidRPr="00A20160" w:rsidRDefault="00001C83" w:rsidP="00FF7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>обеспечение сбалансированности и устойчивости бюджета Петровского городского округа Ставропольского края;</w:t>
      </w:r>
    </w:p>
    <w:p w:rsidR="00001C83" w:rsidRPr="00A20160" w:rsidRDefault="00001C83" w:rsidP="00FF7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усиление внутреннего муниципального финансового </w:t>
      </w:r>
      <w:proofErr w:type="gramStart"/>
      <w:r w:rsidRPr="00A2016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соблюдением бюджетного законодательства и иных нормативных правовых актов, регулирующих бюджетные правоотношения, а также за соблюдением законодательства о контрактной системе в сфере закупок товаров, работ, услуг для обеспечения муниципальных нужд.</w:t>
      </w:r>
    </w:p>
    <w:p w:rsidR="00001C83" w:rsidRPr="00A20160" w:rsidRDefault="00001C83" w:rsidP="00FF7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001C83" w:rsidRPr="00A20160" w:rsidRDefault="00001C83" w:rsidP="00FF73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016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Основные проблемные вопросы развития округа, </w:t>
      </w:r>
      <w:proofErr w:type="gramStart"/>
      <w:r w:rsidRPr="00A2016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сдерживающих</w:t>
      </w:r>
      <w:proofErr w:type="gramEnd"/>
      <w:r w:rsidRPr="00A2016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его социально-экономическое развитие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>Основными проблемами, сдерживающими социально-экономическое развитие округа, в отчетном периоде и среднесрочной перспективе являются: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>- ввод в отношении Российской Федерации экономических санкций недружественными иностранными государствами, что оказывает влияние не только на рост потребительских цен, но и вызывает проблемы с поставками оборудования, техники и комплектующих к ним из недружественных стран;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20160">
        <w:rPr>
          <w:rFonts w:ascii="Times New Roman" w:hAnsi="Times New Roman" w:cs="Times New Roman"/>
          <w:sz w:val="28"/>
          <w:szCs w:val="28"/>
          <w:lang w:eastAsia="en-US"/>
        </w:rPr>
        <w:t>- отсутствие свободных мощностей водоснабжения и водоотведения, что препятствует развитию энергоемких производств и создает предпосылки для сдерживания экономического развития округа;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- осуществление гражданами предпринимательской деятельности без регистрации в установленном действующим законодательством порядке, что ведет к </w:t>
      </w:r>
      <w:proofErr w:type="spellStart"/>
      <w:r w:rsidRPr="00A20160">
        <w:rPr>
          <w:rFonts w:ascii="Times New Roman" w:hAnsi="Times New Roman" w:cs="Times New Roman"/>
          <w:sz w:val="28"/>
          <w:szCs w:val="28"/>
        </w:rPr>
        <w:t>недополучению</w:t>
      </w:r>
      <w:proofErr w:type="spellEnd"/>
      <w:r w:rsidRPr="00A20160">
        <w:rPr>
          <w:rFonts w:ascii="Times New Roman" w:hAnsi="Times New Roman" w:cs="Times New Roman"/>
          <w:sz w:val="28"/>
          <w:szCs w:val="28"/>
        </w:rPr>
        <w:t xml:space="preserve"> значительной доли налогов в бюджеты всех уровней;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noProof/>
          <w:sz w:val="28"/>
          <w:szCs w:val="28"/>
        </w:rPr>
        <w:t>- перевод легального бизнеса в «теневой» и, как следствие, недопоступление налоговых доходов</w:t>
      </w:r>
      <w:r w:rsidRPr="00A20160">
        <w:rPr>
          <w:rFonts w:ascii="Times New Roman" w:hAnsi="Times New Roman" w:cs="Times New Roman"/>
          <w:sz w:val="28"/>
          <w:szCs w:val="28"/>
        </w:rPr>
        <w:t>;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60">
        <w:rPr>
          <w:rFonts w:ascii="Times New Roman" w:hAnsi="Times New Roman" w:cs="Times New Roman"/>
          <w:sz w:val="28"/>
          <w:szCs w:val="28"/>
        </w:rPr>
        <w:t xml:space="preserve">- сокращение численности населения округа, в том числе </w:t>
      </w:r>
      <w:proofErr w:type="gramStart"/>
      <w:r w:rsidRPr="00A201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0160">
        <w:rPr>
          <w:rFonts w:ascii="Times New Roman" w:hAnsi="Times New Roman" w:cs="Times New Roman"/>
          <w:sz w:val="28"/>
          <w:szCs w:val="28"/>
        </w:rPr>
        <w:t xml:space="preserve"> трудоспособного возраста. </w:t>
      </w: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001C83" w:rsidRPr="00A20160" w:rsidRDefault="00001C83" w:rsidP="00FF7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83" w:rsidRPr="00A20160" w:rsidRDefault="00001C83" w:rsidP="00FF73EA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:rsidR="00001C83" w:rsidRPr="00A20160" w:rsidRDefault="00001C8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001C83" w:rsidRPr="00A20160" w:rsidSect="00C939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897"/>
    <w:rsid w:val="00001C83"/>
    <w:rsid w:val="000060E5"/>
    <w:rsid w:val="000110A9"/>
    <w:rsid w:val="00011927"/>
    <w:rsid w:val="000139B4"/>
    <w:rsid w:val="00014AEA"/>
    <w:rsid w:val="00024CA3"/>
    <w:rsid w:val="0005409E"/>
    <w:rsid w:val="0006199D"/>
    <w:rsid w:val="00067132"/>
    <w:rsid w:val="00083887"/>
    <w:rsid w:val="000911C6"/>
    <w:rsid w:val="00092D15"/>
    <w:rsid w:val="000A230C"/>
    <w:rsid w:val="000C1A9A"/>
    <w:rsid w:val="000C230E"/>
    <w:rsid w:val="000C78CB"/>
    <w:rsid w:val="000D4DE9"/>
    <w:rsid w:val="000D58A7"/>
    <w:rsid w:val="000D7DB7"/>
    <w:rsid w:val="000E06D8"/>
    <w:rsid w:val="000E2004"/>
    <w:rsid w:val="000F0287"/>
    <w:rsid w:val="000F21A6"/>
    <w:rsid w:val="000F37CA"/>
    <w:rsid w:val="00113A97"/>
    <w:rsid w:val="001171CF"/>
    <w:rsid w:val="001246E9"/>
    <w:rsid w:val="00133A32"/>
    <w:rsid w:val="00137A62"/>
    <w:rsid w:val="0014481F"/>
    <w:rsid w:val="00152F22"/>
    <w:rsid w:val="00162A33"/>
    <w:rsid w:val="001676F2"/>
    <w:rsid w:val="00170D25"/>
    <w:rsid w:val="001746B4"/>
    <w:rsid w:val="00176A66"/>
    <w:rsid w:val="0019391B"/>
    <w:rsid w:val="001A0D2F"/>
    <w:rsid w:val="001A4BDB"/>
    <w:rsid w:val="001A6197"/>
    <w:rsid w:val="001A6F19"/>
    <w:rsid w:val="001B4D4D"/>
    <w:rsid w:val="001B6333"/>
    <w:rsid w:val="001C28A3"/>
    <w:rsid w:val="001C3D5B"/>
    <w:rsid w:val="001D0D9E"/>
    <w:rsid w:val="001F1122"/>
    <w:rsid w:val="00203141"/>
    <w:rsid w:val="00204F7F"/>
    <w:rsid w:val="002056FA"/>
    <w:rsid w:val="00206B0C"/>
    <w:rsid w:val="002152A7"/>
    <w:rsid w:val="002234E5"/>
    <w:rsid w:val="002268FF"/>
    <w:rsid w:val="00256C01"/>
    <w:rsid w:val="00257851"/>
    <w:rsid w:val="002709F7"/>
    <w:rsid w:val="00287E5E"/>
    <w:rsid w:val="00294731"/>
    <w:rsid w:val="002A1FC9"/>
    <w:rsid w:val="002A5EB4"/>
    <w:rsid w:val="002C6211"/>
    <w:rsid w:val="002D134E"/>
    <w:rsid w:val="002D4363"/>
    <w:rsid w:val="002D60D7"/>
    <w:rsid w:val="002E2C89"/>
    <w:rsid w:val="002E3BDE"/>
    <w:rsid w:val="00320D49"/>
    <w:rsid w:val="00322FE0"/>
    <w:rsid w:val="0032466F"/>
    <w:rsid w:val="0032786A"/>
    <w:rsid w:val="00327A51"/>
    <w:rsid w:val="00330A72"/>
    <w:rsid w:val="0035449B"/>
    <w:rsid w:val="00382498"/>
    <w:rsid w:val="00382B85"/>
    <w:rsid w:val="0039076E"/>
    <w:rsid w:val="003A7925"/>
    <w:rsid w:val="003A7C33"/>
    <w:rsid w:val="003C73F8"/>
    <w:rsid w:val="003F63B0"/>
    <w:rsid w:val="00404338"/>
    <w:rsid w:val="00405A89"/>
    <w:rsid w:val="004064FB"/>
    <w:rsid w:val="004237C4"/>
    <w:rsid w:val="00424925"/>
    <w:rsid w:val="00424C81"/>
    <w:rsid w:val="00427F9E"/>
    <w:rsid w:val="00431D63"/>
    <w:rsid w:val="00443752"/>
    <w:rsid w:val="00445E95"/>
    <w:rsid w:val="00461D9A"/>
    <w:rsid w:val="004714A6"/>
    <w:rsid w:val="00473FC0"/>
    <w:rsid w:val="00477D60"/>
    <w:rsid w:val="004825C4"/>
    <w:rsid w:val="004919F6"/>
    <w:rsid w:val="004A11AE"/>
    <w:rsid w:val="004A24B6"/>
    <w:rsid w:val="004A33F7"/>
    <w:rsid w:val="004C2ED0"/>
    <w:rsid w:val="004D04DB"/>
    <w:rsid w:val="004D0C6A"/>
    <w:rsid w:val="004D5DC3"/>
    <w:rsid w:val="00500B97"/>
    <w:rsid w:val="00502E8E"/>
    <w:rsid w:val="00524D3A"/>
    <w:rsid w:val="005263F3"/>
    <w:rsid w:val="005364B2"/>
    <w:rsid w:val="00544635"/>
    <w:rsid w:val="005530A2"/>
    <w:rsid w:val="00560487"/>
    <w:rsid w:val="005631CE"/>
    <w:rsid w:val="005775EA"/>
    <w:rsid w:val="005836BA"/>
    <w:rsid w:val="005863CD"/>
    <w:rsid w:val="0058783E"/>
    <w:rsid w:val="005A4C03"/>
    <w:rsid w:val="005B174D"/>
    <w:rsid w:val="005B55E3"/>
    <w:rsid w:val="005C3BE8"/>
    <w:rsid w:val="005D2FFD"/>
    <w:rsid w:val="005E0192"/>
    <w:rsid w:val="005E501D"/>
    <w:rsid w:val="005E74E0"/>
    <w:rsid w:val="0060790E"/>
    <w:rsid w:val="0061723E"/>
    <w:rsid w:val="0062207D"/>
    <w:rsid w:val="00624204"/>
    <w:rsid w:val="00642CDC"/>
    <w:rsid w:val="00660B11"/>
    <w:rsid w:val="00664674"/>
    <w:rsid w:val="00666969"/>
    <w:rsid w:val="00673370"/>
    <w:rsid w:val="00673778"/>
    <w:rsid w:val="00682DB7"/>
    <w:rsid w:val="00687199"/>
    <w:rsid w:val="006914C5"/>
    <w:rsid w:val="00692098"/>
    <w:rsid w:val="006932E8"/>
    <w:rsid w:val="006946BB"/>
    <w:rsid w:val="006964E1"/>
    <w:rsid w:val="006A0616"/>
    <w:rsid w:val="006C05CC"/>
    <w:rsid w:val="006C71BD"/>
    <w:rsid w:val="006D044E"/>
    <w:rsid w:val="006D42E8"/>
    <w:rsid w:val="006D7F3B"/>
    <w:rsid w:val="006E26C5"/>
    <w:rsid w:val="006F0726"/>
    <w:rsid w:val="00701AC2"/>
    <w:rsid w:val="007021BB"/>
    <w:rsid w:val="00710B4D"/>
    <w:rsid w:val="007175F4"/>
    <w:rsid w:val="007233CD"/>
    <w:rsid w:val="00725A65"/>
    <w:rsid w:val="00737D55"/>
    <w:rsid w:val="00746483"/>
    <w:rsid w:val="007528D5"/>
    <w:rsid w:val="0076689C"/>
    <w:rsid w:val="007678CF"/>
    <w:rsid w:val="00767A0B"/>
    <w:rsid w:val="0077534E"/>
    <w:rsid w:val="007769E1"/>
    <w:rsid w:val="0078303E"/>
    <w:rsid w:val="007858A8"/>
    <w:rsid w:val="007931DA"/>
    <w:rsid w:val="007956CA"/>
    <w:rsid w:val="007A1D2A"/>
    <w:rsid w:val="007A2C04"/>
    <w:rsid w:val="007A76BC"/>
    <w:rsid w:val="007B6FD0"/>
    <w:rsid w:val="007B70CB"/>
    <w:rsid w:val="007B7F3D"/>
    <w:rsid w:val="007C01F6"/>
    <w:rsid w:val="00810176"/>
    <w:rsid w:val="0081319D"/>
    <w:rsid w:val="00824828"/>
    <w:rsid w:val="008310DC"/>
    <w:rsid w:val="00843854"/>
    <w:rsid w:val="008506F9"/>
    <w:rsid w:val="00864ED3"/>
    <w:rsid w:val="00873E96"/>
    <w:rsid w:val="008750FF"/>
    <w:rsid w:val="00881B77"/>
    <w:rsid w:val="008820D2"/>
    <w:rsid w:val="008843C5"/>
    <w:rsid w:val="008845E6"/>
    <w:rsid w:val="008A0887"/>
    <w:rsid w:val="008A5967"/>
    <w:rsid w:val="008B024C"/>
    <w:rsid w:val="008B6214"/>
    <w:rsid w:val="008E0049"/>
    <w:rsid w:val="008E50C2"/>
    <w:rsid w:val="008F1BA7"/>
    <w:rsid w:val="008F5FC6"/>
    <w:rsid w:val="00924A8C"/>
    <w:rsid w:val="00931F6F"/>
    <w:rsid w:val="0093785D"/>
    <w:rsid w:val="00942D8A"/>
    <w:rsid w:val="00943CF2"/>
    <w:rsid w:val="0095278A"/>
    <w:rsid w:val="0096555F"/>
    <w:rsid w:val="00966531"/>
    <w:rsid w:val="0098624D"/>
    <w:rsid w:val="00987B93"/>
    <w:rsid w:val="009B1CCB"/>
    <w:rsid w:val="009B2B9D"/>
    <w:rsid w:val="009D2F9B"/>
    <w:rsid w:val="009D7C83"/>
    <w:rsid w:val="009E2174"/>
    <w:rsid w:val="009F0092"/>
    <w:rsid w:val="00A03BAB"/>
    <w:rsid w:val="00A0743B"/>
    <w:rsid w:val="00A20160"/>
    <w:rsid w:val="00A3097B"/>
    <w:rsid w:val="00A30FF9"/>
    <w:rsid w:val="00A3140F"/>
    <w:rsid w:val="00A369E2"/>
    <w:rsid w:val="00A63250"/>
    <w:rsid w:val="00A63DFE"/>
    <w:rsid w:val="00A7006B"/>
    <w:rsid w:val="00A83576"/>
    <w:rsid w:val="00A85DAE"/>
    <w:rsid w:val="00AB18D7"/>
    <w:rsid w:val="00AB1F25"/>
    <w:rsid w:val="00AB2A5A"/>
    <w:rsid w:val="00AB4F6E"/>
    <w:rsid w:val="00AC5394"/>
    <w:rsid w:val="00AE52A9"/>
    <w:rsid w:val="00AF4919"/>
    <w:rsid w:val="00B005E1"/>
    <w:rsid w:val="00B06DE9"/>
    <w:rsid w:val="00B137F5"/>
    <w:rsid w:val="00B152A8"/>
    <w:rsid w:val="00B30E72"/>
    <w:rsid w:val="00B31A79"/>
    <w:rsid w:val="00B34F33"/>
    <w:rsid w:val="00B35E2E"/>
    <w:rsid w:val="00B46080"/>
    <w:rsid w:val="00B4751E"/>
    <w:rsid w:val="00B55E5C"/>
    <w:rsid w:val="00B6311E"/>
    <w:rsid w:val="00B67AF3"/>
    <w:rsid w:val="00B808E4"/>
    <w:rsid w:val="00B91657"/>
    <w:rsid w:val="00B91EA7"/>
    <w:rsid w:val="00B978D6"/>
    <w:rsid w:val="00BA489E"/>
    <w:rsid w:val="00BA4E18"/>
    <w:rsid w:val="00BC38B7"/>
    <w:rsid w:val="00BC4897"/>
    <w:rsid w:val="00BD1B41"/>
    <w:rsid w:val="00BD2BD4"/>
    <w:rsid w:val="00BE3676"/>
    <w:rsid w:val="00BE6977"/>
    <w:rsid w:val="00BF5A3E"/>
    <w:rsid w:val="00C035FA"/>
    <w:rsid w:val="00C12860"/>
    <w:rsid w:val="00C20146"/>
    <w:rsid w:val="00C2457F"/>
    <w:rsid w:val="00C248D8"/>
    <w:rsid w:val="00C3459A"/>
    <w:rsid w:val="00C4418B"/>
    <w:rsid w:val="00C45C09"/>
    <w:rsid w:val="00C477E6"/>
    <w:rsid w:val="00C47850"/>
    <w:rsid w:val="00C6716B"/>
    <w:rsid w:val="00C7752B"/>
    <w:rsid w:val="00C82A9D"/>
    <w:rsid w:val="00C939E8"/>
    <w:rsid w:val="00CA016E"/>
    <w:rsid w:val="00CA023E"/>
    <w:rsid w:val="00CA0B50"/>
    <w:rsid w:val="00CA57C5"/>
    <w:rsid w:val="00CB4ED6"/>
    <w:rsid w:val="00CC3A79"/>
    <w:rsid w:val="00CE3F47"/>
    <w:rsid w:val="00CE4949"/>
    <w:rsid w:val="00CE7AED"/>
    <w:rsid w:val="00CF487F"/>
    <w:rsid w:val="00D019C6"/>
    <w:rsid w:val="00D01F14"/>
    <w:rsid w:val="00D02B53"/>
    <w:rsid w:val="00D03274"/>
    <w:rsid w:val="00D2642A"/>
    <w:rsid w:val="00D35AAC"/>
    <w:rsid w:val="00D402BC"/>
    <w:rsid w:val="00D44AEE"/>
    <w:rsid w:val="00D54B95"/>
    <w:rsid w:val="00D71AA7"/>
    <w:rsid w:val="00D81D55"/>
    <w:rsid w:val="00D923E7"/>
    <w:rsid w:val="00D934AE"/>
    <w:rsid w:val="00D948C4"/>
    <w:rsid w:val="00D96793"/>
    <w:rsid w:val="00DB31BA"/>
    <w:rsid w:val="00DB4D16"/>
    <w:rsid w:val="00DD1DEB"/>
    <w:rsid w:val="00DF0969"/>
    <w:rsid w:val="00E24B8A"/>
    <w:rsid w:val="00E25874"/>
    <w:rsid w:val="00E33448"/>
    <w:rsid w:val="00E57519"/>
    <w:rsid w:val="00E60F2C"/>
    <w:rsid w:val="00E62A9E"/>
    <w:rsid w:val="00E63C31"/>
    <w:rsid w:val="00E6774F"/>
    <w:rsid w:val="00E74B29"/>
    <w:rsid w:val="00E778FA"/>
    <w:rsid w:val="00E93342"/>
    <w:rsid w:val="00E97A94"/>
    <w:rsid w:val="00EA322D"/>
    <w:rsid w:val="00EA5D0B"/>
    <w:rsid w:val="00EC2C10"/>
    <w:rsid w:val="00ED1D18"/>
    <w:rsid w:val="00EF7063"/>
    <w:rsid w:val="00F114A1"/>
    <w:rsid w:val="00F21EA6"/>
    <w:rsid w:val="00F24491"/>
    <w:rsid w:val="00F264D3"/>
    <w:rsid w:val="00F30BE3"/>
    <w:rsid w:val="00F32BB4"/>
    <w:rsid w:val="00F50711"/>
    <w:rsid w:val="00F57C77"/>
    <w:rsid w:val="00F6187F"/>
    <w:rsid w:val="00F62149"/>
    <w:rsid w:val="00F74C9F"/>
    <w:rsid w:val="00F80046"/>
    <w:rsid w:val="00F84125"/>
    <w:rsid w:val="00F9058D"/>
    <w:rsid w:val="00F9414E"/>
    <w:rsid w:val="00F97E8B"/>
    <w:rsid w:val="00FA0933"/>
    <w:rsid w:val="00FB331E"/>
    <w:rsid w:val="00FB6F5D"/>
    <w:rsid w:val="00FB76CA"/>
    <w:rsid w:val="00FC09B1"/>
    <w:rsid w:val="00FC7B67"/>
    <w:rsid w:val="00FD01CF"/>
    <w:rsid w:val="00FD3A5E"/>
    <w:rsid w:val="00FE4DF3"/>
    <w:rsid w:val="00FF3010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12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uiPriority w:val="99"/>
    <w:rsid w:val="00660B11"/>
    <w:pPr>
      <w:spacing w:before="120" w:after="120" w:line="360" w:lineRule="exact"/>
      <w:ind w:firstLine="709"/>
    </w:pPr>
    <w:rPr>
      <w:sz w:val="24"/>
      <w:szCs w:val="24"/>
    </w:rPr>
  </w:style>
  <w:style w:type="character" w:customStyle="1" w:styleId="a4">
    <w:name w:val="Основной текст Знак"/>
    <w:aliases w:val="bt Знак"/>
    <w:basedOn w:val="a0"/>
    <w:link w:val="a3"/>
    <w:uiPriority w:val="99"/>
    <w:locked/>
    <w:rsid w:val="00660B11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256C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56C01"/>
    <w:rPr>
      <w:rFonts w:ascii="Calibri" w:hAnsi="Calibri" w:cs="Calibri"/>
    </w:rPr>
  </w:style>
  <w:style w:type="paragraph" w:styleId="a5">
    <w:name w:val="Normal (Web)"/>
    <w:basedOn w:val="a"/>
    <w:uiPriority w:val="99"/>
    <w:semiHidden/>
    <w:rsid w:val="00943CF2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6">
    <w:name w:val="Hyperlink"/>
    <w:basedOn w:val="a0"/>
    <w:uiPriority w:val="99"/>
    <w:semiHidden/>
    <w:rsid w:val="00943CF2"/>
    <w:rPr>
      <w:color w:val="0000FF"/>
      <w:u w:val="single"/>
    </w:rPr>
  </w:style>
  <w:style w:type="paragraph" w:styleId="a7">
    <w:name w:val="No Spacing"/>
    <w:uiPriority w:val="99"/>
    <w:qFormat/>
    <w:rsid w:val="00B67AF3"/>
    <w:pPr>
      <w:suppressAutoHyphens/>
    </w:pPr>
    <w:rPr>
      <w:rFonts w:cs="Calibri"/>
    </w:rPr>
  </w:style>
  <w:style w:type="paragraph" w:customStyle="1" w:styleId="ConsPlusNormal">
    <w:name w:val="ConsPlusNormal"/>
    <w:uiPriority w:val="99"/>
    <w:rsid w:val="00C671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9</Pages>
  <Words>2882</Words>
  <Characters>19735</Characters>
  <Application>Microsoft Office Word</Application>
  <DocSecurity>0</DocSecurity>
  <Lines>164</Lines>
  <Paragraphs>45</Paragraphs>
  <ScaleCrop>false</ScaleCrop>
  <Company>Администрация Петровского муниципального района</Company>
  <LinksUpToDate>false</LinksUpToDate>
  <CharactersWithSpaces>22572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79</cp:revision>
  <cp:lastPrinted>2017-11-15T06:00:00Z</cp:lastPrinted>
  <dcterms:created xsi:type="dcterms:W3CDTF">2022-10-28T13:26:00Z</dcterms:created>
  <dcterms:modified xsi:type="dcterms:W3CDTF">2022-11-10T10:55:00Z</dcterms:modified>
</cp:coreProperties>
</file>