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253"/>
      </w:tblGrid>
      <w:tr w:rsidR="00FF3F27" w14:paraId="7ACD3679" w14:textId="77777777" w:rsidTr="00FF3F27">
        <w:tc>
          <w:tcPr>
            <w:tcW w:w="5211" w:type="dxa"/>
          </w:tcPr>
          <w:p w14:paraId="55F80750" w14:textId="77777777" w:rsidR="00FF3F27" w:rsidRDefault="00FF3F27" w:rsidP="00FF3F2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14:paraId="273D6EB7" w14:textId="77777777" w:rsidR="00FF3F27" w:rsidRDefault="00FF3F27" w:rsidP="00FF3F2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FF3F27" w14:paraId="5365ECDC" w14:textId="77777777" w:rsidTr="00FF3F27">
        <w:tc>
          <w:tcPr>
            <w:tcW w:w="5211" w:type="dxa"/>
          </w:tcPr>
          <w:p w14:paraId="2DAFB18D" w14:textId="77777777" w:rsidR="00FF3F27" w:rsidRDefault="00FF3F27" w:rsidP="00FF3F2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hideMark/>
          </w:tcPr>
          <w:p w14:paraId="483B2FC9" w14:textId="77777777" w:rsidR="00FF3F27" w:rsidRDefault="00FF3F27" w:rsidP="00FF3F2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Петровского городского округа </w:t>
            </w:r>
          </w:p>
          <w:p w14:paraId="21A50963" w14:textId="77777777" w:rsidR="00FF3F27" w:rsidRDefault="00FF3F27" w:rsidP="00FF3F2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</w:tr>
      <w:tr w:rsidR="00FF3F27" w14:paraId="2E9CBE22" w14:textId="77777777" w:rsidTr="00FF3F27">
        <w:tc>
          <w:tcPr>
            <w:tcW w:w="5211" w:type="dxa"/>
          </w:tcPr>
          <w:p w14:paraId="083CA238" w14:textId="77777777" w:rsidR="00FF3F27" w:rsidRDefault="00FF3F2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14:paraId="19280035" w14:textId="5DA3B7A3" w:rsidR="00FF3F27" w:rsidRDefault="00C55A3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28 июля 2020 г. № 993</w:t>
            </w:r>
            <w:bookmarkStart w:id="0" w:name="_GoBack"/>
            <w:bookmarkEnd w:id="0"/>
          </w:p>
        </w:tc>
      </w:tr>
    </w:tbl>
    <w:p w14:paraId="477EA3CB" w14:textId="77777777" w:rsidR="00FF3F27" w:rsidRPr="00F20924" w:rsidRDefault="00FF3F27" w:rsidP="00F20924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0"/>
          <w:szCs w:val="28"/>
        </w:rPr>
      </w:pPr>
    </w:p>
    <w:p w14:paraId="38052D08" w14:textId="73E5059E" w:rsidR="0073603D" w:rsidRPr="000477A6" w:rsidRDefault="0073603D" w:rsidP="001E761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СВОДНЫЙ ОТЧЕТ</w:t>
      </w:r>
    </w:p>
    <w:p w14:paraId="3884E566" w14:textId="5D614967" w:rsidR="00791A0A" w:rsidRPr="00791A0A" w:rsidRDefault="00791A0A" w:rsidP="00791A0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392C69"/>
          <w:sz w:val="28"/>
          <w:szCs w:val="28"/>
        </w:rPr>
      </w:pPr>
      <w:r w:rsidRPr="00791A0A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реализации стратегии социально-экономического развития Петровского городского округа Ставропольского края до 2035 года и о ходе исполнения Плана мероприятий по реализации стратегии социально-экономического развития Петровского городского округа Ставропольского края до 2035 года</w:t>
      </w:r>
    </w:p>
    <w:p w14:paraId="6435DA80" w14:textId="77777777" w:rsidR="00B42C15" w:rsidRPr="000477A6" w:rsidRDefault="00B42C15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B8D438" w14:textId="1DB5F158" w:rsidR="006C6672" w:rsidRDefault="00C22C9D" w:rsidP="00C22C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положениям Федерального закона от 28.06.2014 №172-ФЗ «О стратегическом планировании в Российской Федерации» документом, определяющим цели и задачи муниципального управления и социально-экономического развития муниципального образования на долгосрочный период, является стратегия муниципального образования</w:t>
      </w:r>
      <w:r w:rsidR="006C667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C6672" w:rsidRPr="00B06EBC">
        <w:rPr>
          <w:rFonts w:ascii="Times New Roman" w:hAnsi="Times New Roman" w:cs="Times New Roman"/>
          <w:sz w:val="28"/>
          <w:szCs w:val="28"/>
        </w:rPr>
        <w:t xml:space="preserve">мониторинг и контроль реализации </w:t>
      </w:r>
      <w:r w:rsidR="002658EF">
        <w:rPr>
          <w:rFonts w:ascii="Times New Roman" w:hAnsi="Times New Roman" w:cs="Times New Roman"/>
          <w:sz w:val="28"/>
          <w:szCs w:val="28"/>
        </w:rPr>
        <w:t>стратегии</w:t>
      </w:r>
      <w:r w:rsidR="006C667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C6672" w:rsidRPr="00B06EBC">
        <w:rPr>
          <w:rFonts w:ascii="Times New Roman" w:hAnsi="Times New Roman" w:cs="Times New Roman"/>
          <w:sz w:val="28"/>
          <w:szCs w:val="28"/>
        </w:rPr>
        <w:t>в соответствии с планом мероприятий по</w:t>
      </w:r>
      <w:r w:rsidR="006C6672">
        <w:rPr>
          <w:rFonts w:ascii="Times New Roman" w:hAnsi="Times New Roman" w:cs="Times New Roman"/>
          <w:sz w:val="28"/>
          <w:szCs w:val="28"/>
        </w:rPr>
        <w:t xml:space="preserve"> ее</w:t>
      </w:r>
      <w:r w:rsidR="006C6672" w:rsidRPr="00B06EBC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6C6672">
        <w:rPr>
          <w:rFonts w:ascii="Times New Roman" w:hAnsi="Times New Roman" w:cs="Times New Roman"/>
          <w:sz w:val="28"/>
          <w:szCs w:val="28"/>
        </w:rPr>
        <w:t>.</w:t>
      </w:r>
    </w:p>
    <w:p w14:paraId="4FE203C1" w14:textId="3424894F" w:rsidR="006C6672" w:rsidRPr="000477A6" w:rsidRDefault="0073603D" w:rsidP="006C66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Стратегия социально-экономического развития Петровского городского округа Ставропольского края до 2035 года</w:t>
      </w:r>
      <w:r w:rsidR="00B544DA" w:rsidRPr="000477A6">
        <w:rPr>
          <w:rFonts w:ascii="Times New Roman" w:eastAsia="Times New Roman" w:hAnsi="Times New Roman" w:cs="Times New Roman"/>
          <w:sz w:val="28"/>
          <w:szCs w:val="28"/>
        </w:rPr>
        <w:t xml:space="preserve"> (далее - стратегия развития округа)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2C9D">
        <w:rPr>
          <w:rFonts w:ascii="Times New Roman" w:eastAsia="Times New Roman" w:hAnsi="Times New Roman" w:cs="Times New Roman"/>
          <w:sz w:val="28"/>
          <w:szCs w:val="28"/>
        </w:rPr>
        <w:t xml:space="preserve">была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r w:rsidR="006B0946">
        <w:rPr>
          <w:rFonts w:ascii="Times New Roman" w:eastAsia="Times New Roman" w:hAnsi="Times New Roman" w:cs="Times New Roman"/>
          <w:sz w:val="28"/>
          <w:szCs w:val="28"/>
        </w:rPr>
        <w:t xml:space="preserve"> решением Совета депутатов Петровского городского округа Ставропольского края № 196 от 14</w:t>
      </w:r>
      <w:r w:rsidR="00C22C9D">
        <w:rPr>
          <w:rFonts w:ascii="Times New Roman" w:eastAsia="Times New Roman" w:hAnsi="Times New Roman" w:cs="Times New Roman"/>
          <w:sz w:val="28"/>
          <w:szCs w:val="28"/>
        </w:rPr>
        <w:t xml:space="preserve"> декабр</w:t>
      </w:r>
      <w:r w:rsidR="006B09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22C9D">
        <w:rPr>
          <w:rFonts w:ascii="Times New Roman" w:eastAsia="Times New Roman" w:hAnsi="Times New Roman" w:cs="Times New Roman"/>
          <w:sz w:val="28"/>
          <w:szCs w:val="28"/>
        </w:rPr>
        <w:t xml:space="preserve"> 2018 года. </w:t>
      </w:r>
      <w:r w:rsidR="006C6672" w:rsidRPr="000477A6">
        <w:rPr>
          <w:rFonts w:ascii="Times New Roman" w:eastAsia="Times New Roman" w:hAnsi="Times New Roman" w:cs="Times New Roman"/>
          <w:sz w:val="28"/>
          <w:szCs w:val="28"/>
        </w:rPr>
        <w:t xml:space="preserve">В апреле 2019 года постановлением администрации Петровского городского округа Ставропольского края от 29 апреля 2019 г. № 1005 был утвержден План мероприятий по реализации стратегии социально-экономического развития Петровского городского округа Ставропольского края до 2035 года (далее -  план по реализации стратегии округа). </w:t>
      </w:r>
    </w:p>
    <w:p w14:paraId="1C79F944" w14:textId="10620537" w:rsidR="006C6672" w:rsidRDefault="006C6672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2018 по 2020 год реализуется первый этап стратегии, направленный на</w:t>
      </w:r>
      <w:r w:rsidRPr="006C6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привлечения инвестиций и </w:t>
      </w:r>
      <w:r w:rsidRPr="000477A6">
        <w:rPr>
          <w:rFonts w:ascii="Times New Roman" w:eastAsia="Times New Roman" w:hAnsi="Times New Roman" w:cs="Times New Roman"/>
          <w:bCs/>
          <w:sz w:val="28"/>
          <w:szCs w:val="28"/>
        </w:rPr>
        <w:t>повышение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уровня благосостояния жителей, повышени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качества социальных услуг и комфортности городской среды.</w:t>
      </w:r>
    </w:p>
    <w:p w14:paraId="6605F6BD" w14:textId="1CAB2328" w:rsidR="00017876" w:rsidRDefault="006B0946" w:rsidP="006C66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>ервые результаты реализации стратегии развития округа за 2018 год и промежуточные за 1 полугодие 2019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были рассмотрены на заседании администрации Петровского городского округа Ставропольского края (далее - администрация)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сентябре 2019 года. 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>Оценка достижения р</w:t>
      </w:r>
      <w:r w:rsidR="006C6672" w:rsidRPr="006C6672">
        <w:rPr>
          <w:rFonts w:ascii="Times New Roman" w:eastAsia="Times New Roman" w:hAnsi="Times New Roman" w:cs="Times New Roman"/>
          <w:sz w:val="28"/>
          <w:szCs w:val="28"/>
        </w:rPr>
        <w:t>езультат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C6672" w:rsidRPr="006C6672">
        <w:rPr>
          <w:rFonts w:ascii="Times New Roman" w:eastAsia="Times New Roman" w:hAnsi="Times New Roman" w:cs="Times New Roman"/>
          <w:sz w:val="28"/>
          <w:szCs w:val="28"/>
        </w:rPr>
        <w:t xml:space="preserve"> достижения целей социально-экономического развития Петровского городского округа Ставропольского края 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 xml:space="preserve">(далее - округ) </w:t>
      </w:r>
      <w:r w:rsidR="006C6672" w:rsidRPr="006C6672">
        <w:rPr>
          <w:rFonts w:ascii="Times New Roman" w:eastAsia="Times New Roman" w:hAnsi="Times New Roman" w:cs="Times New Roman"/>
          <w:sz w:val="28"/>
          <w:szCs w:val="28"/>
        </w:rPr>
        <w:t>за 2019 год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 xml:space="preserve"> основана на анализе </w:t>
      </w:r>
      <w:r w:rsidR="006C6672" w:rsidRPr="000477A6">
        <w:rPr>
          <w:rFonts w:ascii="Times New Roman" w:eastAsia="Times New Roman" w:hAnsi="Times New Roman" w:cs="Times New Roman"/>
          <w:sz w:val="28"/>
          <w:szCs w:val="28"/>
        </w:rPr>
        <w:t>выполнения мероприятий плана по реализации стратегии развития округ</w:t>
      </w:r>
      <w:r w:rsidR="006C6672">
        <w:rPr>
          <w:rFonts w:ascii="Times New Roman" w:eastAsia="Times New Roman" w:hAnsi="Times New Roman" w:cs="Times New Roman"/>
          <w:sz w:val="28"/>
          <w:szCs w:val="28"/>
        </w:rPr>
        <w:t xml:space="preserve">а. Источником информации для проведения </w:t>
      </w:r>
      <w:r w:rsidR="0001787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6C6672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7876">
        <w:rPr>
          <w:rFonts w:ascii="Times New Roman" w:eastAsia="Times New Roman" w:hAnsi="Times New Roman" w:cs="Times New Roman"/>
          <w:sz w:val="28"/>
          <w:szCs w:val="28"/>
        </w:rPr>
        <w:t xml:space="preserve">послужили: </w:t>
      </w:r>
    </w:p>
    <w:p w14:paraId="662EF263" w14:textId="608D7CE7" w:rsidR="00017876" w:rsidRDefault="00017876" w:rsidP="006C66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годовые отчеты о реализации муниципальных программ </w:t>
      </w:r>
      <w:r w:rsidR="001A3A12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(далее - муниципальная программа)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за 2019 год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74D10D5" w14:textId="6BBA5171" w:rsidR="00017876" w:rsidRDefault="00017876" w:rsidP="006C66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доклад об оценке эффективности деятельности органов местного самоуправления Петровского городского округа Ставропольского края за 2019 год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D33F8E" w14:textId="27D10EAE" w:rsidR="00017876" w:rsidRDefault="00017876" w:rsidP="006C66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официальная статистическая информация;</w:t>
      </w:r>
    </w:p>
    <w:p w14:paraId="75523CBE" w14:textId="77777777" w:rsidR="00293B80" w:rsidRPr="006B0946" w:rsidRDefault="00017876" w:rsidP="000178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информация, </w:t>
      </w:r>
      <w:r w:rsidRPr="006B094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предоставленная </w:t>
      </w:r>
      <w:r w:rsidR="006C6672" w:rsidRPr="006B0946">
        <w:rPr>
          <w:rFonts w:ascii="Times New Roman" w:eastAsia="Times New Roman" w:hAnsi="Times New Roman" w:cs="Times New Roman"/>
          <w:sz w:val="28"/>
          <w:szCs w:val="28"/>
        </w:rPr>
        <w:t>отделами и органами администрации Петровского городского округа Ставропольского края, ГБУЗ СК «Петровская районная больница»</w:t>
      </w:r>
      <w:r w:rsidR="00293B80" w:rsidRPr="006B09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C210607" w14:textId="6C707BF6" w:rsidR="00293B80" w:rsidRDefault="00293B80" w:rsidP="006B09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946">
        <w:rPr>
          <w:rFonts w:ascii="Times New Roman" w:eastAsia="Times New Roman" w:hAnsi="Times New Roman" w:cs="Times New Roman"/>
          <w:sz w:val="28"/>
          <w:szCs w:val="28"/>
        </w:rPr>
        <w:t>информация из открытых источников</w:t>
      </w:r>
      <w:r w:rsidR="0001787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33E072" w14:textId="77777777" w:rsidR="00F20924" w:rsidRDefault="00F20924" w:rsidP="0001787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5110A6" w14:textId="77777777" w:rsidR="001B7600" w:rsidRPr="000477A6" w:rsidRDefault="00D53920" w:rsidP="0001787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544DA" w:rsidRPr="000477A6">
        <w:rPr>
          <w:rFonts w:ascii="Times New Roman" w:eastAsia="Times New Roman" w:hAnsi="Times New Roman" w:cs="Times New Roman"/>
          <w:sz w:val="28"/>
          <w:szCs w:val="28"/>
        </w:rPr>
        <w:t xml:space="preserve">Результаты достижения целей социально-экономического развития Петровского городского округа Ставропольского края </w:t>
      </w:r>
    </w:p>
    <w:p w14:paraId="64F8966E" w14:textId="227255C5" w:rsidR="00011D62" w:rsidRPr="000477A6" w:rsidRDefault="00B544DA" w:rsidP="0001787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99231E" w:rsidRPr="000477A6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14:paraId="2FAFE9FB" w14:textId="77777777" w:rsidR="001B7600" w:rsidRPr="000477A6" w:rsidRDefault="001B7600" w:rsidP="000477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B00ADE" w14:textId="77777777" w:rsidR="001B7600" w:rsidRPr="000477A6" w:rsidRDefault="001B7600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="00C7193D" w:rsidRPr="000477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1.</w:t>
      </w:r>
      <w:r w:rsidRPr="000477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Укр</w:t>
      </w:r>
      <w:r w:rsidRPr="000477A6">
        <w:rPr>
          <w:rFonts w:ascii="Times New Roman" w:eastAsia="Times New Roman" w:hAnsi="Times New Roman" w:cs="Times New Roman"/>
          <w:b/>
          <w:sz w:val="28"/>
          <w:szCs w:val="28"/>
        </w:rPr>
        <w:t>епление социальной стабильности</w:t>
      </w:r>
      <w:r w:rsidR="00C7193D" w:rsidRPr="000477A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9DA178" w14:textId="77777777" w:rsidR="00D67A13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A47D57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 Численность постоянного населения (среднегодовая).</w:t>
      </w:r>
    </w:p>
    <w:p w14:paraId="204842A0" w14:textId="063CB304" w:rsidR="001E177C" w:rsidRPr="000477A6" w:rsidRDefault="00A47D57" w:rsidP="0001787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017876">
        <w:rPr>
          <w:rFonts w:ascii="Times New Roman" w:eastAsia="Calibri" w:hAnsi="Times New Roman" w:cs="Times New Roman"/>
          <w:bCs/>
          <w:sz w:val="28"/>
          <w:szCs w:val="28"/>
        </w:rPr>
        <w:t xml:space="preserve">2019 году не удалось преодолеть негативные тенденции, сформировавшиеся за последние годы в демографической сфере. 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В результате естественных и миграционных процессов среднегодов</w:t>
      </w:r>
      <w:r w:rsidR="0099231E" w:rsidRPr="000477A6">
        <w:rPr>
          <w:rFonts w:ascii="Times New Roman" w:eastAsia="Calibri" w:hAnsi="Times New Roman" w:cs="Times New Roman"/>
          <w:bCs/>
          <w:sz w:val="28"/>
          <w:szCs w:val="28"/>
        </w:rPr>
        <w:t>ая численность населения</w:t>
      </w:r>
      <w:r w:rsidR="00017876">
        <w:rPr>
          <w:rFonts w:ascii="Times New Roman" w:eastAsia="Calibri" w:hAnsi="Times New Roman" w:cs="Times New Roman"/>
          <w:bCs/>
          <w:sz w:val="28"/>
          <w:szCs w:val="28"/>
        </w:rPr>
        <w:t xml:space="preserve"> округа</w:t>
      </w:r>
      <w:r w:rsidR="0099231E"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за 2019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год </w:t>
      </w:r>
      <w:r w:rsidR="0071777A">
        <w:rPr>
          <w:rFonts w:ascii="Times New Roman" w:eastAsia="Calibri" w:hAnsi="Times New Roman" w:cs="Times New Roman"/>
          <w:bCs/>
          <w:sz w:val="28"/>
          <w:szCs w:val="28"/>
        </w:rPr>
        <w:t xml:space="preserve">сократилась 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до 7</w:t>
      </w:r>
      <w:r w:rsidR="0099231E" w:rsidRPr="000477A6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6E1E8D"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D7AA2">
        <w:rPr>
          <w:rFonts w:ascii="Times New Roman" w:eastAsia="Calibri" w:hAnsi="Times New Roman" w:cs="Times New Roman"/>
          <w:bCs/>
          <w:sz w:val="28"/>
          <w:szCs w:val="28"/>
        </w:rPr>
        <w:t>508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человек. </w:t>
      </w:r>
    </w:p>
    <w:p w14:paraId="74215227" w14:textId="054C8FD9" w:rsidR="0071777A" w:rsidRPr="000477A6" w:rsidRDefault="001E177C" w:rsidP="0071777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77A6">
        <w:rPr>
          <w:rFonts w:ascii="Times New Roman" w:eastAsia="Calibri" w:hAnsi="Times New Roman" w:cs="Times New Roman"/>
          <w:bCs/>
          <w:sz w:val="28"/>
          <w:szCs w:val="28"/>
        </w:rPr>
        <w:t>Естественная убыль населения за 201</w:t>
      </w:r>
      <w:r w:rsidR="0099231E" w:rsidRPr="000477A6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1777A">
        <w:rPr>
          <w:rFonts w:ascii="Times New Roman" w:eastAsia="Calibri" w:hAnsi="Times New Roman" w:cs="Times New Roman"/>
          <w:bCs/>
          <w:sz w:val="28"/>
          <w:szCs w:val="28"/>
        </w:rPr>
        <w:t xml:space="preserve">увеличилась до </w:t>
      </w:r>
      <w:r w:rsidR="0099231E"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470 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человек</w:t>
      </w:r>
      <w:r w:rsidR="0071777A">
        <w:rPr>
          <w:rFonts w:ascii="Times New Roman" w:eastAsia="Calibri" w:hAnsi="Times New Roman" w:cs="Times New Roman"/>
          <w:bCs/>
          <w:sz w:val="28"/>
          <w:szCs w:val="28"/>
        </w:rPr>
        <w:t xml:space="preserve"> (в 2018 году показатель составлял 448 человек). </w:t>
      </w:r>
      <w:r w:rsidR="0071777A" w:rsidRPr="0071777A">
        <w:rPr>
          <w:rFonts w:ascii="Times New Roman" w:eastAsia="Calibri" w:hAnsi="Times New Roman" w:cs="Times New Roman"/>
          <w:bCs/>
          <w:sz w:val="28"/>
          <w:szCs w:val="28"/>
        </w:rPr>
        <w:t xml:space="preserve">По данным </w:t>
      </w:r>
      <w:r w:rsidR="0071777A" w:rsidRPr="007177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ГБУЗ СК «Петровская районная больница» </w:t>
      </w:r>
      <w:r w:rsidR="0071777A" w:rsidRPr="0071777A">
        <w:rPr>
          <w:rFonts w:ascii="Times New Roman" w:eastAsia="Calibri" w:hAnsi="Times New Roman" w:cs="Times New Roman"/>
          <w:bCs/>
          <w:sz w:val="28"/>
          <w:szCs w:val="28"/>
        </w:rPr>
        <w:t>в структуре смертности преоблада</w:t>
      </w:r>
      <w:r w:rsidR="0071777A">
        <w:rPr>
          <w:rFonts w:ascii="Times New Roman" w:eastAsia="Calibri" w:hAnsi="Times New Roman" w:cs="Times New Roman"/>
          <w:bCs/>
          <w:sz w:val="28"/>
          <w:szCs w:val="28"/>
        </w:rPr>
        <w:t xml:space="preserve">ли </w:t>
      </w:r>
      <w:r w:rsidR="0071777A" w:rsidRPr="0071777A">
        <w:rPr>
          <w:rFonts w:ascii="Times New Roman" w:eastAsia="Calibri" w:hAnsi="Times New Roman" w:cs="Times New Roman"/>
          <w:bCs/>
          <w:sz w:val="28"/>
          <w:szCs w:val="28"/>
        </w:rPr>
        <w:t>смертность от болезней органов кровообращения (55,0% смертей) и злокачественных новообразований (12,7% смертей). В трудоспособном возрасте умерло 126 человек (в 2018 году - 151 человек).</w:t>
      </w:r>
    </w:p>
    <w:p w14:paraId="4F2A6E5E" w14:textId="47EC59B0" w:rsidR="004838B4" w:rsidRDefault="0071777A" w:rsidP="000477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2019 году отмеч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 xml:space="preserve">ено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сокращение миграционного оттока населения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 xml:space="preserve"> до </w:t>
      </w:r>
      <w:r w:rsidR="006B0946">
        <w:rPr>
          <w:rFonts w:ascii="Times New Roman" w:eastAsia="Calibri" w:hAnsi="Times New Roman" w:cs="Times New Roman"/>
          <w:bCs/>
          <w:sz w:val="28"/>
          <w:szCs w:val="28"/>
        </w:rPr>
        <w:t>379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 (</w:t>
      </w:r>
      <w:r w:rsidR="004838B4">
        <w:rPr>
          <w:rFonts w:ascii="Times New Roman" w:eastAsia="Calibri" w:hAnsi="Times New Roman" w:cs="Times New Roman"/>
          <w:bCs/>
          <w:sz w:val="28"/>
          <w:szCs w:val="28"/>
        </w:rPr>
        <w:t xml:space="preserve">в 2018 году 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4838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 xml:space="preserve">670 человек). В миграционных потоках преобладает </w:t>
      </w:r>
      <w:proofErr w:type="spellStart"/>
      <w:r w:rsidR="00F20276">
        <w:rPr>
          <w:rFonts w:ascii="Times New Roman" w:eastAsia="Calibri" w:hAnsi="Times New Roman" w:cs="Times New Roman"/>
          <w:bCs/>
          <w:sz w:val="28"/>
          <w:szCs w:val="28"/>
        </w:rPr>
        <w:t>внутрикраевая</w:t>
      </w:r>
      <w:proofErr w:type="spellEnd"/>
      <w:r w:rsidR="00F20276">
        <w:rPr>
          <w:rFonts w:ascii="Times New Roman" w:eastAsia="Calibri" w:hAnsi="Times New Roman" w:cs="Times New Roman"/>
          <w:bCs/>
          <w:sz w:val="28"/>
          <w:szCs w:val="28"/>
        </w:rPr>
        <w:t xml:space="preserve"> миграция - </w:t>
      </w:r>
      <w:r w:rsidR="006B0946">
        <w:rPr>
          <w:rFonts w:ascii="Times New Roman" w:eastAsia="Calibri" w:hAnsi="Times New Roman" w:cs="Times New Roman"/>
          <w:bCs/>
          <w:sz w:val="28"/>
          <w:szCs w:val="28"/>
        </w:rPr>
        <w:t>473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 выбыло в другие территории края.</w:t>
      </w:r>
    </w:p>
    <w:p w14:paraId="0B58C177" w14:textId="77777777" w:rsidR="00A47D57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A47D57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 Общий коэффициент рождаемости.</w:t>
      </w:r>
    </w:p>
    <w:p w14:paraId="2B1389BA" w14:textId="36D7D79A" w:rsidR="001A3A12" w:rsidRDefault="009D302F" w:rsidP="001A3A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Коэффициент рождаемости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расчете на 1000 человек населения 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по итогам 2019 года составил 7,8.</w:t>
      </w:r>
      <w:r w:rsidRPr="0004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2AB2" w:rsidRPr="000477A6">
        <w:rPr>
          <w:rFonts w:ascii="Times New Roman" w:eastAsia="Calibri" w:hAnsi="Times New Roman" w:cs="Times New Roman"/>
          <w:bCs/>
          <w:sz w:val="28"/>
          <w:szCs w:val="28"/>
        </w:rPr>
        <w:t>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отчетном</w:t>
      </w:r>
      <w:r w:rsidR="007D313E"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году 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>зарегистрировано снижение рождаемости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до 559 детей (в 2018 году 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в округе родилось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628 детей)</w:t>
      </w:r>
      <w:r w:rsidR="00F20276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стоит отметить, что н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а долю вторых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третьих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 xml:space="preserve"> детей по очередности рождения приходится </w:t>
      </w:r>
      <w:r>
        <w:rPr>
          <w:rFonts w:ascii="Times New Roman" w:eastAsia="Calibri" w:hAnsi="Times New Roman" w:cs="Times New Roman"/>
          <w:bCs/>
          <w:sz w:val="28"/>
          <w:szCs w:val="28"/>
        </w:rPr>
        <w:t>56,2</w:t>
      </w:r>
      <w:r w:rsidRPr="000477A6">
        <w:rPr>
          <w:rFonts w:ascii="Times New Roman" w:eastAsia="Calibri" w:hAnsi="Times New Roman" w:cs="Times New Roman"/>
          <w:bCs/>
          <w:sz w:val="28"/>
          <w:szCs w:val="28"/>
        </w:rPr>
        <w:t>% общего числа родившихся.</w:t>
      </w:r>
      <w:r w:rsidR="001A3A1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6B6DE47E" w14:textId="77777777" w:rsidR="00A47D57" w:rsidRPr="000477A6" w:rsidRDefault="009454E4" w:rsidP="000477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1.</w:t>
      </w:r>
      <w:r w:rsidR="00A47D57" w:rsidRPr="000477A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3. Младенческая смертность.</w:t>
      </w:r>
    </w:p>
    <w:p w14:paraId="759723B5" w14:textId="1EA30C4A" w:rsidR="009D302F" w:rsidRDefault="009D302F" w:rsidP="000477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02F">
        <w:rPr>
          <w:rFonts w:ascii="Times New Roman" w:eastAsia="Calibri" w:hAnsi="Times New Roman" w:cs="Times New Roman"/>
          <w:sz w:val="28"/>
          <w:szCs w:val="28"/>
        </w:rPr>
        <w:t>Младенческая смертность обусловлена нарушениями, возникшими в перинатальном возрасте, показатель младенческой смертности</w:t>
      </w:r>
      <w:r w:rsidR="001E6A98">
        <w:rPr>
          <w:rFonts w:ascii="Times New Roman" w:eastAsia="Calibri" w:hAnsi="Times New Roman" w:cs="Times New Roman"/>
          <w:sz w:val="28"/>
          <w:szCs w:val="28"/>
        </w:rPr>
        <w:t xml:space="preserve"> в расчете на 1000 человек по итогам отчетного года </w:t>
      </w:r>
      <w:r w:rsidRPr="009D302F">
        <w:rPr>
          <w:rFonts w:ascii="Times New Roman" w:eastAsia="Calibri" w:hAnsi="Times New Roman" w:cs="Times New Roman"/>
          <w:sz w:val="28"/>
          <w:szCs w:val="28"/>
        </w:rPr>
        <w:t>составил 9,7 (умер 1 ребенок до года)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3ED482" w14:textId="77777777" w:rsidR="00A47D57" w:rsidRPr="000477A6" w:rsidRDefault="009454E4" w:rsidP="00047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A47D57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4. </w:t>
      </w:r>
      <w:r w:rsidR="00A47D57" w:rsidRPr="000477A6">
        <w:rPr>
          <w:rFonts w:ascii="Times New Roman" w:eastAsia="Calibri" w:hAnsi="Times New Roman" w:cs="Times New Roman"/>
          <w:i/>
          <w:i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</w:r>
    </w:p>
    <w:p w14:paraId="2C130BEC" w14:textId="77777777" w:rsidR="001A3A12" w:rsidRPr="001A3A12" w:rsidRDefault="001A3A12" w:rsidP="001A3A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Образовательные организации округа в 2019 году приняли участие в реализации региональных проектов «Современная школа», «Успех каждого ребенка», «Цифровая образовательная среда», «Учитель будущего», мероприятий которых реализовывались в рамках муниципальной программы «Развитие образования». С 01 октября 2019 года работают центры образования цифрового и гуманитарного профилей «Точка роста» в МКОУ </w:t>
      </w:r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СОШ № 6 им. Г.В. Батищева </w:t>
      </w:r>
      <w:proofErr w:type="spellStart"/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>с.Гофицкое</w:t>
      </w:r>
      <w:proofErr w:type="spellEnd"/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МКОУ СОШ № 17 </w:t>
      </w:r>
      <w:proofErr w:type="spellStart"/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>с.Сухая</w:t>
      </w:r>
      <w:proofErr w:type="spellEnd"/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Буйвола. Внедрена модель цифровой образовательной среды в МБОУ гимназия № 1 </w:t>
      </w:r>
      <w:proofErr w:type="spellStart"/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>г.Светлограда</w:t>
      </w:r>
      <w:proofErr w:type="spellEnd"/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>. Выполнен ремонт спортивного зала в МКОУ СОШ № 12 с. Николина Балка и создан школьный спортивный клуб в МКОУ СОШ № 10 с. Донская Балка.</w:t>
      </w:r>
    </w:p>
    <w:p w14:paraId="71BD2796" w14:textId="77777777" w:rsidR="001A3A12" w:rsidRPr="001A3A12" w:rsidRDefault="001A3A12" w:rsidP="001A3A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A12">
        <w:rPr>
          <w:rFonts w:ascii="Times New Roman" w:eastAsia="Calibri" w:hAnsi="Times New Roman" w:cs="Times New Roman"/>
          <w:sz w:val="28"/>
          <w:szCs w:val="28"/>
          <w:lang w:eastAsia="en-US"/>
        </w:rPr>
        <w:t>В 2019 году была продолжена работа по созданию комфортных современных условий для обучения, развития инфраструктуры и улучшению санитарного состояния. Работы по улучшению условий оказания образовательных услуг коснулись 22 образовательных организаций, что составляет 41% от общего числа функционирующих в округе. Решена проблема замены оконных блоков в детских садах округа, в школах требуют замены около 20% оконных блоков.</w:t>
      </w:r>
    </w:p>
    <w:p w14:paraId="00A490F2" w14:textId="77777777" w:rsidR="001A3A12" w:rsidRPr="001A3A12" w:rsidRDefault="001A3A12" w:rsidP="001A3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A12">
        <w:rPr>
          <w:rFonts w:ascii="Times New Roman" w:eastAsia="Times New Roman" w:hAnsi="Times New Roman" w:cs="Times New Roman"/>
          <w:sz w:val="28"/>
          <w:szCs w:val="28"/>
        </w:rPr>
        <w:t>Обеспечение деятельности учреждений общего образования осуществляется в рамках муниципальной программы «Развитие образования», кассовое исполнение по программе по итогам отчетного года составляют около 836,0 млн. рублей или 40% общего объема расходов бюджета округа.</w:t>
      </w:r>
      <w:r w:rsidRPr="001A3A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A12">
        <w:rPr>
          <w:rFonts w:ascii="Times New Roman" w:eastAsia="Times New Roman" w:hAnsi="Times New Roman" w:cs="Times New Roman"/>
          <w:sz w:val="28"/>
          <w:szCs w:val="28"/>
        </w:rPr>
        <w:t>Расходы бюджета округа на общее образование в расчете на 1 обучающегося в муниципальных общеобразовательных учреждениях увеличились до 69 рублей.</w:t>
      </w:r>
    </w:p>
    <w:p w14:paraId="76A81D13" w14:textId="1743E8C6" w:rsidR="001A3A12" w:rsidRDefault="001A3A12" w:rsidP="0004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12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осталась на уровне 2018 года и составляет 90,8%.</w:t>
      </w:r>
    </w:p>
    <w:p w14:paraId="4C997677" w14:textId="506A1D70" w:rsidR="00364485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5. </w:t>
      </w:r>
      <w:r w:rsidR="00364485" w:rsidRPr="000477A6">
        <w:rPr>
          <w:rFonts w:ascii="Times New Roman" w:eastAsia="Calibri" w:hAnsi="Times New Roman" w:cs="Times New Roman"/>
          <w:i/>
          <w:iCs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14:paraId="196CE436" w14:textId="77777777" w:rsidR="0084214E" w:rsidRDefault="001A3A12" w:rsidP="001A3A12">
      <w:pPr>
        <w:pStyle w:val="a9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 активно включился в реализацию </w:t>
      </w:r>
      <w:r>
        <w:rPr>
          <w:rFonts w:eastAsia="Calibri"/>
          <w:sz w:val="28"/>
          <w:szCs w:val="28"/>
        </w:rPr>
        <w:t xml:space="preserve">регионального проекта «Культурная среда». </w:t>
      </w:r>
      <w:r>
        <w:rPr>
          <w:sz w:val="28"/>
          <w:szCs w:val="28"/>
        </w:rPr>
        <w:t>МКУК</w:t>
      </w:r>
      <w:r w:rsidRPr="00DE425E">
        <w:rPr>
          <w:sz w:val="28"/>
          <w:szCs w:val="28"/>
        </w:rPr>
        <w:t xml:space="preserve"> «Петровская централизованная библиотечная система»</w:t>
      </w:r>
      <w:r w:rsidRPr="00DE425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единственное учреждение в крае, получившее грант в сумме 10,0 млн. рублей на </w:t>
      </w:r>
      <w:r>
        <w:rPr>
          <w:sz w:val="28"/>
          <w:szCs w:val="28"/>
        </w:rPr>
        <w:t xml:space="preserve">создание </w:t>
      </w:r>
      <w:r w:rsidRPr="00444B11">
        <w:rPr>
          <w:sz w:val="28"/>
          <w:szCs w:val="28"/>
        </w:rPr>
        <w:t>модельн</w:t>
      </w:r>
      <w:r>
        <w:rPr>
          <w:sz w:val="28"/>
          <w:szCs w:val="28"/>
        </w:rPr>
        <w:t>ой</w:t>
      </w:r>
      <w:r w:rsidRPr="00444B11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и. Благодаря чему были созданы</w:t>
      </w:r>
      <w:r w:rsidRPr="00444B11">
        <w:rPr>
          <w:sz w:val="28"/>
          <w:szCs w:val="28"/>
        </w:rPr>
        <w:t xml:space="preserve"> специально оборудованные места для людей с ограниченными возможностями здоровья, для детей и молодежи предусмотрены игровые и развлекательные зоны, творческие площадки.</w:t>
      </w:r>
      <w:r w:rsidRPr="005B110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44B11">
        <w:rPr>
          <w:sz w:val="28"/>
          <w:szCs w:val="28"/>
        </w:rPr>
        <w:t>ыполнен капитальный ремонт Дома культуры села Шведино, завершен первый этап капитального ремонта Центрального Дома культуры города Светлограда</w:t>
      </w:r>
      <w:r>
        <w:rPr>
          <w:sz w:val="28"/>
          <w:szCs w:val="28"/>
        </w:rPr>
        <w:t xml:space="preserve">. </w:t>
      </w:r>
    </w:p>
    <w:p w14:paraId="14DA765B" w14:textId="755D5AAF" w:rsidR="001A3A12" w:rsidRPr="00444B11" w:rsidRDefault="001A3A12" w:rsidP="001A3A12">
      <w:pPr>
        <w:pStyle w:val="a9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регионального проекта позволила сократить</w:t>
      </w:r>
      <w:r w:rsidRPr="005B1102">
        <w:t xml:space="preserve"> </w:t>
      </w:r>
      <w:r>
        <w:rPr>
          <w:sz w:val="28"/>
          <w:szCs w:val="28"/>
        </w:rPr>
        <w:t>д</w:t>
      </w:r>
      <w:r w:rsidRPr="005B1102">
        <w:rPr>
          <w:sz w:val="28"/>
          <w:szCs w:val="28"/>
        </w:rPr>
        <w:t>ол</w:t>
      </w:r>
      <w:r>
        <w:rPr>
          <w:sz w:val="28"/>
          <w:szCs w:val="28"/>
        </w:rPr>
        <w:t>ю</w:t>
      </w:r>
      <w:r w:rsidRPr="005B1102">
        <w:rPr>
          <w:sz w:val="28"/>
          <w:szCs w:val="28"/>
        </w:rPr>
        <w:t xml:space="preserve">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>
        <w:rPr>
          <w:sz w:val="28"/>
          <w:szCs w:val="28"/>
        </w:rPr>
        <w:t xml:space="preserve"> до 16,2%.</w:t>
      </w:r>
    </w:p>
    <w:p w14:paraId="6706E0B5" w14:textId="77777777" w:rsidR="00364485" w:rsidRPr="00CE3037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6. Доля молодых специалистов со стажем работы до 5 лет к общему числу </w:t>
      </w:r>
      <w:r w:rsidR="00364485" w:rsidRPr="00CE3037">
        <w:rPr>
          <w:rFonts w:ascii="Times New Roman" w:eastAsia="Times New Roman" w:hAnsi="Times New Roman" w:cs="Times New Roman"/>
          <w:i/>
          <w:iCs/>
          <w:sz w:val="28"/>
          <w:szCs w:val="28"/>
        </w:rPr>
        <w:t>специалистов по отраслям:</w:t>
      </w:r>
    </w:p>
    <w:p w14:paraId="0DE77A1D" w14:textId="77777777" w:rsidR="00364485" w:rsidRPr="00CE3037" w:rsidRDefault="00364485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E3037">
        <w:rPr>
          <w:rFonts w:ascii="Times New Roman" w:eastAsia="Times New Roman" w:hAnsi="Times New Roman" w:cs="Times New Roman"/>
          <w:i/>
          <w:iCs/>
          <w:sz w:val="28"/>
          <w:szCs w:val="28"/>
        </w:rPr>
        <w:t>- «Образование»</w:t>
      </w:r>
    </w:p>
    <w:p w14:paraId="044475C4" w14:textId="283CB1E3" w:rsidR="002179FA" w:rsidRPr="00C118E5" w:rsidRDefault="002179F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8E5">
        <w:rPr>
          <w:rFonts w:ascii="Times New Roman" w:eastAsia="Times New Roman" w:hAnsi="Times New Roman" w:cs="Times New Roman"/>
          <w:sz w:val="28"/>
          <w:szCs w:val="28"/>
        </w:rPr>
        <w:t>В системе образования округа (муниципальные учреждения) в 201</w:t>
      </w:r>
      <w:r w:rsidR="00CC2AC9" w:rsidRPr="00C118E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118E5">
        <w:rPr>
          <w:rFonts w:ascii="Times New Roman" w:eastAsia="Times New Roman" w:hAnsi="Times New Roman" w:cs="Times New Roman"/>
          <w:sz w:val="28"/>
          <w:szCs w:val="28"/>
        </w:rPr>
        <w:t xml:space="preserve"> году трудилось</w:t>
      </w:r>
      <w:r w:rsidR="00CC2AC9" w:rsidRPr="00C11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FD0" w:rsidRPr="00C118E5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118E5">
        <w:rPr>
          <w:rFonts w:ascii="Times New Roman" w:eastAsia="Times New Roman" w:hAnsi="Times New Roman" w:cs="Times New Roman"/>
          <w:sz w:val="28"/>
          <w:szCs w:val="28"/>
        </w:rPr>
        <w:t xml:space="preserve"> молодых специалистов, </w:t>
      </w:r>
      <w:r w:rsidR="00343CFD" w:rsidRPr="00C118E5">
        <w:rPr>
          <w:rFonts w:ascii="Times New Roman" w:eastAsia="Times New Roman" w:hAnsi="Times New Roman" w:cs="Times New Roman"/>
          <w:sz w:val="28"/>
          <w:szCs w:val="28"/>
        </w:rPr>
        <w:t>педагогический</w:t>
      </w:r>
      <w:r w:rsidRPr="00C118E5">
        <w:rPr>
          <w:rFonts w:ascii="Times New Roman" w:eastAsia="Times New Roman" w:hAnsi="Times New Roman" w:cs="Times New Roman"/>
          <w:sz w:val="28"/>
          <w:szCs w:val="28"/>
        </w:rPr>
        <w:t xml:space="preserve"> стаж которых не </w:t>
      </w:r>
      <w:r w:rsidRPr="00C118E5">
        <w:rPr>
          <w:rFonts w:ascii="Times New Roman" w:eastAsia="Times New Roman" w:hAnsi="Times New Roman" w:cs="Times New Roman"/>
          <w:sz w:val="28"/>
          <w:szCs w:val="28"/>
        </w:rPr>
        <w:lastRenderedPageBreak/>
        <w:t>превышает 3 лет,</w:t>
      </w:r>
      <w:r w:rsidR="00B35FD0" w:rsidRPr="00C118E5">
        <w:rPr>
          <w:rFonts w:ascii="Times New Roman CYR" w:eastAsia="Times New Roman" w:hAnsi="Times New Roman CYR" w:cs="Times New Roman CYR"/>
          <w:sz w:val="28"/>
          <w:szCs w:val="28"/>
        </w:rPr>
        <w:t xml:space="preserve"> которым из бюджета округа ежемесячно выплачивались меры социальной поддержки в размере 1 500,00 руб</w:t>
      </w:r>
      <w:r w:rsidR="00B35FD0" w:rsidRPr="00C118E5">
        <w:rPr>
          <w:rFonts w:ascii="Times New Roman" w:eastAsia="Times New Roman" w:hAnsi="Times New Roman" w:cs="Times New Roman"/>
          <w:sz w:val="28"/>
          <w:szCs w:val="28"/>
        </w:rPr>
        <w:t xml:space="preserve">лей. </w:t>
      </w:r>
      <w:r w:rsidR="000A4D5E">
        <w:rPr>
          <w:rFonts w:ascii="Times New Roman" w:eastAsia="Times New Roman" w:hAnsi="Times New Roman" w:cs="Times New Roman"/>
          <w:sz w:val="28"/>
          <w:szCs w:val="28"/>
        </w:rPr>
        <w:t xml:space="preserve">Всего же в муниципальных образовательных организациях работает </w:t>
      </w:r>
      <w:r w:rsidR="00DB5279">
        <w:rPr>
          <w:rFonts w:ascii="Times New Roman" w:eastAsia="Times New Roman" w:hAnsi="Times New Roman" w:cs="Times New Roman"/>
          <w:sz w:val="28"/>
          <w:szCs w:val="28"/>
        </w:rPr>
        <w:t>13,2%</w:t>
      </w:r>
      <w:r w:rsidR="000A4D5E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специалистов, стаж работы которых не превышает 5 лет. </w:t>
      </w:r>
    </w:p>
    <w:p w14:paraId="5166A1C4" w14:textId="77777777" w:rsidR="002179FA" w:rsidRPr="00CE3037" w:rsidRDefault="00364485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E3037">
        <w:rPr>
          <w:rFonts w:ascii="Times New Roman" w:eastAsia="Times New Roman" w:hAnsi="Times New Roman" w:cs="Times New Roman"/>
          <w:i/>
          <w:iCs/>
          <w:sz w:val="28"/>
          <w:szCs w:val="28"/>
        </w:rPr>
        <w:t>- «Культура</w:t>
      </w:r>
      <w:r w:rsidR="002179FA" w:rsidRPr="00CE3037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</w:p>
    <w:p w14:paraId="6958B391" w14:textId="2091BBF2" w:rsidR="002179FA" w:rsidRPr="00CE3037" w:rsidRDefault="00CE3037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037">
        <w:rPr>
          <w:rFonts w:ascii="Times New Roman" w:eastAsia="Times New Roman" w:hAnsi="Times New Roman" w:cs="Times New Roman"/>
          <w:sz w:val="28"/>
          <w:szCs w:val="28"/>
        </w:rPr>
        <w:t xml:space="preserve">Фактическая численность работников муниципальных учреждений культуры по итогам 2019 года составляла 311 человек, средний возраст работающих - 46 лет. На долю специалистов, </w:t>
      </w:r>
      <w:r w:rsidR="00343CFD" w:rsidRPr="00CE3037">
        <w:rPr>
          <w:rFonts w:ascii="Times New Roman" w:eastAsia="Times New Roman" w:hAnsi="Times New Roman" w:cs="Times New Roman"/>
          <w:sz w:val="28"/>
          <w:szCs w:val="28"/>
        </w:rPr>
        <w:t xml:space="preserve">общий трудовой стаж которых не превышает 5 лет, </w:t>
      </w:r>
      <w:r w:rsidRPr="00CE3037">
        <w:rPr>
          <w:rFonts w:ascii="Times New Roman" w:eastAsia="Times New Roman" w:hAnsi="Times New Roman" w:cs="Times New Roman"/>
          <w:sz w:val="28"/>
          <w:szCs w:val="28"/>
        </w:rPr>
        <w:t>приходится 7,71% в общей численности работающих в отрасли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3037">
        <w:rPr>
          <w:rFonts w:ascii="Times New Roman" w:eastAsia="Times New Roman" w:hAnsi="Times New Roman" w:cs="Times New Roman"/>
          <w:sz w:val="28"/>
          <w:szCs w:val="28"/>
        </w:rPr>
        <w:t xml:space="preserve">(24 человека). </w:t>
      </w:r>
    </w:p>
    <w:p w14:paraId="0AEDB9F0" w14:textId="77777777" w:rsidR="00364485" w:rsidRPr="00CC53F1" w:rsidRDefault="002179F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C53F1">
        <w:rPr>
          <w:rFonts w:ascii="Times New Roman" w:eastAsia="Times New Roman" w:hAnsi="Times New Roman" w:cs="Times New Roman"/>
          <w:i/>
          <w:iCs/>
          <w:sz w:val="28"/>
          <w:szCs w:val="28"/>
        </w:rPr>
        <w:t>- «Здравоохранение»</w:t>
      </w:r>
    </w:p>
    <w:p w14:paraId="5D02F41E" w14:textId="402A95B0" w:rsidR="00EC4D08" w:rsidRPr="000477A6" w:rsidRDefault="00CC2AC9" w:rsidP="0084214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3F1">
        <w:rPr>
          <w:rFonts w:ascii="Times New Roman" w:hAnsi="Times New Roman" w:cs="Times New Roman"/>
          <w:color w:val="000000"/>
          <w:sz w:val="28"/>
          <w:szCs w:val="28"/>
        </w:rPr>
        <w:t xml:space="preserve">Общая численность работников ГБУЗ СК «Петровская районная больница» по состоянию на 31 декабря 2019 года 941 человек, процент укомплектованности кадрами 45,7%. </w:t>
      </w:r>
      <w:r w:rsidR="00CC53F1" w:rsidRPr="00CC53F1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году на работу в районную больницу прибыло 14 врачей и 19 медицинских сестер. </w:t>
      </w:r>
      <w:r w:rsidRPr="00CC53F1">
        <w:rPr>
          <w:rFonts w:ascii="Times New Roman" w:hAnsi="Times New Roman" w:cs="Times New Roman"/>
          <w:color w:val="000000"/>
          <w:sz w:val="28"/>
          <w:szCs w:val="28"/>
        </w:rPr>
        <w:t>На протяжении последних лет сохраняется тенденция старения медицинского персонала: 49,3% врачей и 28,7% среднего медицинского персонала достигли пенсионного возраст</w:t>
      </w:r>
      <w:r w:rsidR="00CC53F1" w:rsidRPr="00CC53F1">
        <w:rPr>
          <w:rFonts w:ascii="Times New Roman" w:hAnsi="Times New Roman" w:cs="Times New Roman"/>
          <w:color w:val="000000"/>
          <w:sz w:val="28"/>
          <w:szCs w:val="28"/>
        </w:rPr>
        <w:t>а, доля молодых специалистов со стажем работы до 5 лет - 7,3%.</w:t>
      </w:r>
      <w:r w:rsidRPr="00CC53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55C0B1F" w14:textId="77777777" w:rsidR="00364485" w:rsidRPr="000477A6" w:rsidRDefault="009454E4" w:rsidP="008421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7. Доля граждан, систематически занимающихся физической культурой и спортом, в общей численности населения.</w:t>
      </w:r>
    </w:p>
    <w:p w14:paraId="13301CD5" w14:textId="77777777" w:rsidR="0084214E" w:rsidRPr="0084214E" w:rsidRDefault="0084214E" w:rsidP="008421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14E">
        <w:rPr>
          <w:rFonts w:ascii="Times New Roman" w:eastAsia="Times New Roman" w:hAnsi="Times New Roman" w:cs="Times New Roman"/>
          <w:sz w:val="28"/>
          <w:szCs w:val="28"/>
        </w:rPr>
        <w:t xml:space="preserve">В округе действует 6 муниципальных спортивных учреждений и </w:t>
      </w:r>
      <w:r w:rsidRPr="0084214E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 дополнительного образования «Районная комплексная детско-юношеская спортивная школа». Жители сел, в которых отсутствуют спортивные учреждения, могут заниматься в</w:t>
      </w:r>
      <w:r w:rsidRPr="0084214E">
        <w:rPr>
          <w:rFonts w:ascii="Times New Roman" w:eastAsia="Times New Roman" w:hAnsi="Times New Roman" w:cs="Times New Roman"/>
          <w:sz w:val="28"/>
          <w:szCs w:val="28"/>
        </w:rPr>
        <w:t xml:space="preserve"> спортивных залах общеобразовательных школ. Численность занимающихся физической культурой и спортом по итогам отчетного года увеличилась до 31579 человек, что составляет 47,2% общего числа жителей округа. </w:t>
      </w:r>
    </w:p>
    <w:p w14:paraId="37CED3FF" w14:textId="77777777" w:rsidR="0084214E" w:rsidRPr="0084214E" w:rsidRDefault="0084214E" w:rsidP="008421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14E">
        <w:rPr>
          <w:rFonts w:ascii="Times New Roman" w:eastAsia="Times New Roman" w:hAnsi="Times New Roman" w:cs="Times New Roman"/>
          <w:sz w:val="28"/>
          <w:szCs w:val="28"/>
        </w:rPr>
        <w:t xml:space="preserve">Наиболее успешно ведется физкультурно-спортивная работа в селах </w:t>
      </w:r>
      <w:proofErr w:type="spellStart"/>
      <w:r w:rsidRPr="0084214E">
        <w:rPr>
          <w:rFonts w:ascii="Times New Roman" w:eastAsia="Times New Roman" w:hAnsi="Times New Roman" w:cs="Times New Roman"/>
          <w:sz w:val="28"/>
          <w:szCs w:val="28"/>
        </w:rPr>
        <w:t>Константиновское</w:t>
      </w:r>
      <w:proofErr w:type="spellEnd"/>
      <w:r w:rsidRPr="0084214E">
        <w:rPr>
          <w:rFonts w:ascii="Times New Roman" w:eastAsia="Times New Roman" w:hAnsi="Times New Roman" w:cs="Times New Roman"/>
          <w:sz w:val="28"/>
          <w:szCs w:val="28"/>
        </w:rPr>
        <w:t xml:space="preserve">, Благодатное, Высоцкое, Донская Балка, </w:t>
      </w:r>
      <w:proofErr w:type="spellStart"/>
      <w:r w:rsidRPr="0084214E">
        <w:rPr>
          <w:rFonts w:ascii="Times New Roman" w:eastAsia="Times New Roman" w:hAnsi="Times New Roman" w:cs="Times New Roman"/>
          <w:sz w:val="28"/>
          <w:szCs w:val="28"/>
        </w:rPr>
        <w:t>Шангала</w:t>
      </w:r>
      <w:proofErr w:type="spellEnd"/>
      <w:r w:rsidRPr="008421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4214E">
        <w:rPr>
          <w:rFonts w:ascii="Times New Roman" w:eastAsia="Times New Roman" w:hAnsi="Times New Roman" w:cs="Times New Roman"/>
          <w:sz w:val="28"/>
          <w:szCs w:val="28"/>
        </w:rPr>
        <w:t>Шведино</w:t>
      </w:r>
      <w:proofErr w:type="spellEnd"/>
      <w:r w:rsidRPr="0084214E">
        <w:rPr>
          <w:rFonts w:ascii="Times New Roman" w:eastAsia="Times New Roman" w:hAnsi="Times New Roman" w:cs="Times New Roman"/>
          <w:sz w:val="28"/>
          <w:szCs w:val="28"/>
        </w:rPr>
        <w:t xml:space="preserve">, Гофицкое и поселке </w:t>
      </w:r>
      <w:proofErr w:type="spellStart"/>
      <w:r w:rsidRPr="0084214E">
        <w:rPr>
          <w:rFonts w:ascii="Times New Roman" w:eastAsia="Times New Roman" w:hAnsi="Times New Roman" w:cs="Times New Roman"/>
          <w:sz w:val="28"/>
          <w:szCs w:val="28"/>
        </w:rPr>
        <w:t>Прикалаусском</w:t>
      </w:r>
      <w:proofErr w:type="spellEnd"/>
      <w:r w:rsidRPr="00842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DB8783" w14:textId="3CEAA72C" w:rsidR="0084214E" w:rsidRPr="0084214E" w:rsidRDefault="0084214E" w:rsidP="0084214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421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Значительное внимание уделяется развитию физической культуры и спорта в </w:t>
      </w:r>
      <w:proofErr w:type="spellStart"/>
      <w:r w:rsidRPr="0084214E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Светлоградских</w:t>
      </w:r>
      <w:proofErr w:type="spellEnd"/>
      <w:r w:rsidRPr="008421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электрических сетях, в ЛПУМГ </w:t>
      </w:r>
      <w:proofErr w:type="spellStart"/>
      <w:r w:rsidRPr="0084214E">
        <w:rPr>
          <w:rFonts w:ascii="Times New Roman" w:eastAsiaTheme="minorHAnsi" w:hAnsi="Times New Roman" w:cs="Times New Roman"/>
          <w:sz w:val="28"/>
          <w:szCs w:val="28"/>
          <w:lang w:eastAsia="en-US"/>
        </w:rPr>
        <w:t>г.Светлограда</w:t>
      </w:r>
      <w:proofErr w:type="spellEnd"/>
      <w:r w:rsidRPr="008421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Петровской районной больнице, в филиале «Светлоградский» ЗАО «Ставропольский бройлер». Команды этих организаций принимают участие в ежегодных отраслевых спартакиадах. </w:t>
      </w:r>
    </w:p>
    <w:p w14:paraId="0347EA05" w14:textId="77777777" w:rsidR="00364485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8.</w:t>
      </w:r>
      <w:r w:rsidR="00364485" w:rsidRPr="000477A6">
        <w:rPr>
          <w:rFonts w:ascii="Times New Roman" w:hAnsi="Times New Roman" w:cs="Times New Roman"/>
          <w:sz w:val="28"/>
          <w:szCs w:val="28"/>
        </w:rPr>
        <w:t xml:space="preserve"> 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Уровень удовлетворенности населения округа качеством предоставляемых муниципальных услуг в области культуры.</w:t>
      </w:r>
    </w:p>
    <w:p w14:paraId="6B07A36B" w14:textId="56254F4F" w:rsidR="0084214E" w:rsidRPr="0084214E" w:rsidRDefault="0084214E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</w:pPr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В 2019 году независимая оценка качества </w:t>
      </w:r>
      <w:r w:rsidR="007B4EAC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условий </w:t>
      </w:r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оказания услуг проведена в отношении 7 культурно-досуговых учреждений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(домов культуры)</w:t>
      </w:r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сел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Благодатное, Высоцкое, Ореховка, Гофицкое, Николина Балка и поселка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Прикалаусский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, </w:t>
      </w:r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МКУК «</w:t>
      </w:r>
      <w:proofErr w:type="spellStart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Гофицкий</w:t>
      </w:r>
      <w:proofErr w:type="spellEnd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историко-краеведческий музей им. </w:t>
      </w:r>
      <w:proofErr w:type="spellStart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Ю.И.Бельгарова</w:t>
      </w:r>
      <w:proofErr w:type="spellEnd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», МКУ ДО «</w:t>
      </w:r>
      <w:proofErr w:type="spellStart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Светлоградская</w:t>
      </w:r>
      <w:proofErr w:type="spellEnd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детская художественная школа» и МКУ ДО «</w:t>
      </w:r>
      <w:proofErr w:type="spellStart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Светлоградская</w:t>
      </w:r>
      <w:proofErr w:type="spellEnd"/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районная детская музыкальная школа»</w:t>
      </w:r>
    </w:p>
    <w:p w14:paraId="37FC7039" w14:textId="0E198F10" w:rsidR="007B4EAC" w:rsidRDefault="007B4EAC" w:rsidP="007B4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lastRenderedPageBreak/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П</w:t>
      </w:r>
      <w:r w:rsidRPr="007B4EAC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о результатам независимой оценки </w:t>
      </w:r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качества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условий </w:t>
      </w:r>
      <w:r w:rsidRPr="0084214E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оказания услуг</w:t>
      </w:r>
      <w:r w:rsidRPr="007B4EAC">
        <w:t xml:space="preserve"> </w:t>
      </w:r>
      <w:r w:rsidRPr="007B4EAC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муниципальными организациями в сфер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е </w:t>
      </w:r>
      <w:r w:rsidRPr="007B4EAC"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>культуры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ru-RU"/>
        </w:rPr>
        <w:t xml:space="preserve"> средний балл составил 81,41 балла.</w:t>
      </w:r>
    </w:p>
    <w:p w14:paraId="2CC1ACE4" w14:textId="76CD2B20" w:rsidR="00364485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9.</w:t>
      </w:r>
      <w:r w:rsidR="00364485" w:rsidRPr="000477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64485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Среднемесячная номинальная начисленная заработная плата одного работника.</w:t>
      </w:r>
    </w:p>
    <w:p w14:paraId="461E5725" w14:textId="32E71D1E" w:rsidR="007B4EAC" w:rsidRDefault="007B4EAC" w:rsidP="007B4EAC">
      <w:pPr>
        <w:pStyle w:val="a9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444B11">
        <w:rPr>
          <w:sz w:val="28"/>
          <w:szCs w:val="28"/>
        </w:rPr>
        <w:t xml:space="preserve">По данным мониторинга в отчетном году в экономике округа </w:t>
      </w:r>
      <w:r>
        <w:rPr>
          <w:sz w:val="28"/>
          <w:szCs w:val="28"/>
        </w:rPr>
        <w:t xml:space="preserve">было </w:t>
      </w:r>
      <w:r w:rsidRPr="00444B11">
        <w:rPr>
          <w:sz w:val="28"/>
          <w:szCs w:val="28"/>
        </w:rPr>
        <w:t>занято около 17,8 тысяч</w:t>
      </w:r>
      <w:r>
        <w:rPr>
          <w:sz w:val="28"/>
          <w:szCs w:val="28"/>
        </w:rPr>
        <w:t>и</w:t>
      </w:r>
      <w:r w:rsidRPr="00444B11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 с</w:t>
      </w:r>
      <w:r w:rsidRPr="00444B11">
        <w:rPr>
          <w:sz w:val="28"/>
          <w:szCs w:val="28"/>
        </w:rPr>
        <w:t xml:space="preserve">реднесписочная численность работников предприятий и организаций, предоставляющих статистическую отчетность, </w:t>
      </w:r>
      <w:r>
        <w:rPr>
          <w:sz w:val="28"/>
          <w:szCs w:val="28"/>
        </w:rPr>
        <w:t xml:space="preserve">за 2019 год </w:t>
      </w:r>
      <w:r w:rsidRPr="00444B11">
        <w:rPr>
          <w:sz w:val="28"/>
          <w:szCs w:val="28"/>
        </w:rPr>
        <w:t>составля</w:t>
      </w:r>
      <w:r>
        <w:rPr>
          <w:sz w:val="28"/>
          <w:szCs w:val="28"/>
        </w:rPr>
        <w:t>ла</w:t>
      </w:r>
      <w:r w:rsidRPr="00444B11">
        <w:rPr>
          <w:sz w:val="28"/>
          <w:szCs w:val="28"/>
        </w:rPr>
        <w:t xml:space="preserve"> 11,0 тысяч человек. </w:t>
      </w:r>
      <w:r>
        <w:rPr>
          <w:sz w:val="28"/>
          <w:szCs w:val="28"/>
        </w:rPr>
        <w:t>Основным источником доходов населения является заработная плата</w:t>
      </w:r>
      <w:r w:rsidRPr="00444B1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отчетном году </w:t>
      </w:r>
      <w:r w:rsidRPr="00444B11">
        <w:rPr>
          <w:sz w:val="28"/>
          <w:szCs w:val="28"/>
        </w:rPr>
        <w:t>среднемесячная заработная плата</w:t>
      </w:r>
      <w:r>
        <w:rPr>
          <w:sz w:val="28"/>
          <w:szCs w:val="28"/>
        </w:rPr>
        <w:t xml:space="preserve"> увеличилась с 25648,8 рубля до</w:t>
      </w:r>
      <w:r w:rsidRPr="00444B11">
        <w:rPr>
          <w:sz w:val="28"/>
          <w:szCs w:val="28"/>
        </w:rPr>
        <w:t xml:space="preserve"> 27167,7 рубл</w:t>
      </w:r>
      <w:r>
        <w:rPr>
          <w:sz w:val="28"/>
          <w:szCs w:val="28"/>
        </w:rPr>
        <w:t xml:space="preserve">я при темпе роста 105,9%. </w:t>
      </w:r>
    </w:p>
    <w:p w14:paraId="7BF93198" w14:textId="77777777" w:rsidR="00626BA5" w:rsidRPr="000477A6" w:rsidRDefault="008B6176" w:rsidP="000477A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7A6">
        <w:rPr>
          <w:rFonts w:ascii="Times New Roman" w:eastAsia="Lucida Sans Unicode" w:hAnsi="Times New Roman" w:cs="Times New Roman"/>
          <w:sz w:val="28"/>
          <w:szCs w:val="28"/>
        </w:rPr>
        <w:t xml:space="preserve">По официальным статистическим данным </w:t>
      </w:r>
      <w:r w:rsidR="00010916" w:rsidRPr="000477A6">
        <w:rPr>
          <w:rFonts w:ascii="Times New Roman" w:eastAsia="Lucida Sans Unicode" w:hAnsi="Times New Roman" w:cs="Times New Roman"/>
          <w:sz w:val="28"/>
          <w:szCs w:val="28"/>
        </w:rPr>
        <w:t xml:space="preserve">по состоянию на </w:t>
      </w:r>
      <w:r w:rsidR="00ED2213" w:rsidRPr="000477A6">
        <w:rPr>
          <w:rFonts w:ascii="Times New Roman" w:eastAsia="Lucida Sans Unicode" w:hAnsi="Times New Roman" w:cs="Times New Roman"/>
          <w:sz w:val="28"/>
          <w:szCs w:val="28"/>
        </w:rPr>
        <w:t>01</w:t>
      </w:r>
      <w:r w:rsidR="00010916" w:rsidRPr="000477A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ED2213" w:rsidRPr="000477A6">
        <w:rPr>
          <w:rFonts w:ascii="Times New Roman" w:eastAsia="Lucida Sans Unicode" w:hAnsi="Times New Roman" w:cs="Times New Roman"/>
          <w:sz w:val="28"/>
          <w:szCs w:val="28"/>
        </w:rPr>
        <w:t xml:space="preserve">апреля </w:t>
      </w:r>
      <w:r w:rsidR="00010916" w:rsidRPr="000477A6">
        <w:rPr>
          <w:rFonts w:ascii="Times New Roman" w:eastAsia="Lucida Sans Unicode" w:hAnsi="Times New Roman" w:cs="Times New Roman"/>
          <w:sz w:val="28"/>
          <w:szCs w:val="28"/>
        </w:rPr>
        <w:t>20</w:t>
      </w:r>
      <w:r w:rsidR="00ED2213" w:rsidRPr="000477A6">
        <w:rPr>
          <w:rFonts w:ascii="Times New Roman" w:eastAsia="Lucida Sans Unicode" w:hAnsi="Times New Roman" w:cs="Times New Roman"/>
          <w:sz w:val="28"/>
          <w:szCs w:val="28"/>
        </w:rPr>
        <w:t>20</w:t>
      </w:r>
      <w:r w:rsidR="00010916" w:rsidRPr="000477A6">
        <w:rPr>
          <w:rFonts w:ascii="Times New Roman" w:eastAsia="Lucida Sans Unicode" w:hAnsi="Times New Roman" w:cs="Times New Roman"/>
          <w:sz w:val="28"/>
          <w:szCs w:val="28"/>
        </w:rPr>
        <w:t xml:space="preserve"> года </w:t>
      </w:r>
      <w:r w:rsidRPr="000477A6">
        <w:rPr>
          <w:rFonts w:ascii="Times New Roman" w:eastAsia="Calibri" w:hAnsi="Times New Roman" w:cs="Times New Roman"/>
          <w:sz w:val="28"/>
          <w:szCs w:val="28"/>
        </w:rPr>
        <w:t xml:space="preserve">просроченная задолженность по заработной плате в сумме 16,1 млн. рублей имелась в </w:t>
      </w:r>
      <w:r w:rsidR="00626BA5" w:rsidRPr="000477A6">
        <w:rPr>
          <w:rFonts w:ascii="Times New Roman" w:eastAsia="Calibri" w:hAnsi="Times New Roman" w:cs="Times New Roman"/>
          <w:sz w:val="28"/>
          <w:szCs w:val="28"/>
        </w:rPr>
        <w:t>АО «Светлоградский маслоэкстракционный завод»</w:t>
      </w:r>
      <w:r w:rsidRPr="000477A6">
        <w:rPr>
          <w:rFonts w:ascii="Times New Roman" w:eastAsia="Calibri" w:hAnsi="Times New Roman" w:cs="Times New Roman"/>
          <w:sz w:val="28"/>
          <w:szCs w:val="28"/>
        </w:rPr>
        <w:t>, в отношении которого введена процедура внешнего управления</w:t>
      </w:r>
      <w:r w:rsidR="00626BA5" w:rsidRPr="000477A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F092DA" w14:textId="77777777" w:rsidR="00364485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1.</w:t>
      </w:r>
      <w:r w:rsidR="00364485" w:rsidRPr="000477A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10. Доля населения, принявшего участие в общественных мероприятиях на территории округа, в общей численности постоянного населения.</w:t>
      </w:r>
    </w:p>
    <w:p w14:paraId="64F9B9AD" w14:textId="53AC2DEE" w:rsidR="005955FC" w:rsidRDefault="00225AEA" w:rsidP="00225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55FC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5955FC" w:rsidRPr="005955FC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5955FC">
        <w:rPr>
          <w:rFonts w:ascii="Times New Roman" w:eastAsia="Times New Roman" w:hAnsi="Times New Roman" w:cs="Times New Roman"/>
          <w:sz w:val="28"/>
          <w:szCs w:val="28"/>
        </w:rPr>
        <w:t xml:space="preserve">году в общественных мероприятиях, проводимых на территории округа, приняли участие </w:t>
      </w:r>
      <w:r w:rsidR="00AE2AF1" w:rsidRPr="005955FC">
        <w:rPr>
          <w:rFonts w:ascii="Times New Roman" w:eastAsia="Times New Roman" w:hAnsi="Times New Roman" w:cs="Times New Roman"/>
          <w:sz w:val="28"/>
          <w:szCs w:val="28"/>
        </w:rPr>
        <w:t>26 303</w:t>
      </w:r>
      <w:r w:rsidRPr="005955FC">
        <w:rPr>
          <w:rFonts w:ascii="Times New Roman" w:eastAsia="Times New Roman" w:hAnsi="Times New Roman" w:cs="Times New Roman"/>
          <w:sz w:val="28"/>
          <w:szCs w:val="28"/>
        </w:rPr>
        <w:t xml:space="preserve"> человека или </w:t>
      </w:r>
      <w:r w:rsidR="00AE2AF1" w:rsidRPr="005955FC">
        <w:rPr>
          <w:rFonts w:ascii="Times New Roman" w:eastAsia="Times New Roman" w:hAnsi="Times New Roman" w:cs="Times New Roman"/>
          <w:sz w:val="28"/>
          <w:szCs w:val="28"/>
        </w:rPr>
        <w:t>36,8</w:t>
      </w:r>
      <w:r w:rsidRPr="005955FC">
        <w:rPr>
          <w:rFonts w:ascii="Times New Roman" w:eastAsia="Times New Roman" w:hAnsi="Times New Roman" w:cs="Times New Roman"/>
          <w:sz w:val="28"/>
          <w:szCs w:val="28"/>
        </w:rPr>
        <w:t>% общей численности населения округа</w:t>
      </w:r>
      <w:r w:rsidR="00A14CB7" w:rsidRPr="005955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955FC">
        <w:rPr>
          <w:rFonts w:ascii="Times New Roman" w:eastAsia="Times New Roman" w:hAnsi="Times New Roman" w:cs="Times New Roman"/>
          <w:sz w:val="28"/>
          <w:szCs w:val="28"/>
        </w:rPr>
        <w:t xml:space="preserve">Жители принимали активное участие </w:t>
      </w:r>
      <w:r w:rsidR="00AE2AF1" w:rsidRPr="005955F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955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AF1" w:rsidRPr="005955FC">
        <w:rPr>
          <w:rFonts w:ascii="Times New Roman" w:eastAsia="Times New Roman" w:hAnsi="Times New Roman" w:cs="Times New Roman"/>
          <w:sz w:val="28"/>
          <w:szCs w:val="28"/>
        </w:rPr>
        <w:t xml:space="preserve">формировании перечня проектов развития территорий муниципальных образований, основанных на местных инициативах, </w:t>
      </w:r>
      <w:r w:rsidR="00AE2AF1" w:rsidRPr="00AE2AF1">
        <w:rPr>
          <w:rFonts w:ascii="Times New Roman" w:eastAsia="Times New Roman" w:hAnsi="Times New Roman" w:cs="Times New Roman"/>
          <w:sz w:val="28"/>
          <w:szCs w:val="28"/>
        </w:rPr>
        <w:t>рейтингово</w:t>
      </w:r>
      <w:r w:rsidR="00AE2AF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E2AF1" w:rsidRPr="00AE2AF1">
        <w:rPr>
          <w:rFonts w:ascii="Times New Roman" w:eastAsia="Times New Roman" w:hAnsi="Times New Roman" w:cs="Times New Roman"/>
          <w:sz w:val="28"/>
          <w:szCs w:val="28"/>
        </w:rPr>
        <w:t xml:space="preserve"> голосовани</w:t>
      </w:r>
      <w:r w:rsidR="00AE2AF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E2AF1" w:rsidRPr="00AE2AF1">
        <w:rPr>
          <w:rFonts w:ascii="Times New Roman" w:eastAsia="Times New Roman" w:hAnsi="Times New Roman" w:cs="Times New Roman"/>
          <w:sz w:val="28"/>
          <w:szCs w:val="28"/>
        </w:rPr>
        <w:t xml:space="preserve">по выбору проектов благоустройства общественных территорий </w:t>
      </w:r>
      <w:r w:rsidR="00AE2AF1">
        <w:rPr>
          <w:rFonts w:ascii="Times New Roman" w:eastAsia="Times New Roman" w:hAnsi="Times New Roman" w:cs="Times New Roman"/>
          <w:sz w:val="28"/>
          <w:szCs w:val="28"/>
        </w:rPr>
        <w:t xml:space="preserve">округа, </w:t>
      </w:r>
      <w:r w:rsidR="005955FC">
        <w:rPr>
          <w:rFonts w:ascii="Times New Roman" w:eastAsia="Times New Roman" w:hAnsi="Times New Roman" w:cs="Times New Roman"/>
          <w:sz w:val="28"/>
          <w:szCs w:val="28"/>
        </w:rPr>
        <w:t xml:space="preserve">собраниях жителей сельских населенных пунктов и субботниках. </w:t>
      </w:r>
    </w:p>
    <w:p w14:paraId="661FE1B5" w14:textId="77777777" w:rsidR="00C7193D" w:rsidRPr="000477A6" w:rsidRDefault="00C7193D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2</w:t>
      </w:r>
      <w:r w:rsidRPr="000477A6">
        <w:rPr>
          <w:rFonts w:ascii="Times New Roman" w:eastAsia="Times New Roman" w:hAnsi="Times New Roman" w:cs="Times New Roman"/>
          <w:b/>
          <w:sz w:val="28"/>
          <w:szCs w:val="28"/>
        </w:rPr>
        <w:t>. Создание комфортной среды проживания и развитие инфраструктуры.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22C13B" w14:textId="77777777" w:rsidR="009454E4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2.1.</w:t>
      </w:r>
      <w:r w:rsidRPr="000477A6">
        <w:rPr>
          <w:rFonts w:ascii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Наличие в городском округе утвержденного генерального плана городского округа.</w:t>
      </w:r>
    </w:p>
    <w:p w14:paraId="4D66269F" w14:textId="1826B17D" w:rsidR="007B4EAC" w:rsidRPr="00225AEA" w:rsidRDefault="00225AE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25AEA">
        <w:rPr>
          <w:rFonts w:ascii="Times New Roman" w:eastAsia="Times New Roman" w:hAnsi="Times New Roman" w:cs="Times New Roman"/>
          <w:sz w:val="28"/>
          <w:szCs w:val="28"/>
        </w:rPr>
        <w:t xml:space="preserve">В связи с отсутствием </w:t>
      </w:r>
      <w:proofErr w:type="spellStart"/>
      <w:r w:rsidRPr="00225AEA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225AEA">
        <w:rPr>
          <w:rFonts w:ascii="Times New Roman" w:eastAsia="Times New Roman" w:hAnsi="Times New Roman" w:cs="Times New Roman"/>
          <w:sz w:val="28"/>
          <w:szCs w:val="28"/>
        </w:rPr>
        <w:t xml:space="preserve"> в виде субсидии из федерального бюджета органам местного самоуправления на проведение комплексных кадастровых работ на 2019 - 2020 годы в рамках исполнения распоряжения Правительства Ставропольского края от 21 мая 2018 № 195-рп «О внесении изменений в распоряжение Правительства Ставропольского края от 02 мая 2017 г. № 103-рп «О проведении комплексных кадастровых работ на территории Ставропольского края в 2018-2019 годах», генеральный план округа  в 2019 году не был разработан. </w:t>
      </w:r>
    </w:p>
    <w:p w14:paraId="75142B66" w14:textId="7440FF77" w:rsidR="00225AEA" w:rsidRPr="00225AEA" w:rsidRDefault="00225AEA" w:rsidP="00225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C4D">
        <w:rPr>
          <w:rFonts w:ascii="Times New Roman" w:eastAsia="Times New Roman" w:hAnsi="Times New Roman" w:cs="Times New Roman"/>
          <w:sz w:val="28"/>
          <w:szCs w:val="28"/>
        </w:rPr>
        <w:t xml:space="preserve">Основой градостроительного развития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округа остается </w:t>
      </w:r>
      <w:r w:rsidRPr="00DE5C4D">
        <w:rPr>
          <w:rFonts w:ascii="Times New Roman" w:eastAsia="Times New Roman" w:hAnsi="Times New Roman" w:cs="Times New Roman"/>
          <w:sz w:val="28"/>
          <w:szCs w:val="28"/>
        </w:rPr>
        <w:t xml:space="preserve"> схема территориального планирования Петровского муниципального района Ставропольского края на период до 2040 года (далее - схема территориального планирования), утвержденная решением Совета Петровского муниципального района Ставропольского края 21 ноября 2013    № 50. Поселениями, входившими в состав Петровского муниципального </w:t>
      </w:r>
      <w:r w:rsidRPr="00DE5C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района Ставропольского края,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были </w:t>
      </w:r>
      <w:r w:rsidRPr="00DE5C4D">
        <w:rPr>
          <w:rFonts w:ascii="Times New Roman" w:eastAsia="Times New Roman" w:hAnsi="Times New Roman" w:cs="Times New Roman"/>
          <w:sz w:val="28"/>
          <w:szCs w:val="28"/>
        </w:rPr>
        <w:t>разработаны и утверждены генеральные планы поселений, правила землепользования и застройки поселений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1E095E" w14:textId="77777777" w:rsidR="00DE5C4D" w:rsidRPr="000477A6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2.2. Общая площадь жилых помещений, приходящаяся в среднем на одного жителя.</w:t>
      </w:r>
    </w:p>
    <w:p w14:paraId="13916201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>В рамках реализации в округе отдельных функций в области градостроительства администрацией округа в 2019 году выдано:</w:t>
      </w:r>
    </w:p>
    <w:p w14:paraId="4B696EF8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 xml:space="preserve">- 28 разрешений на строительство; </w:t>
      </w:r>
    </w:p>
    <w:p w14:paraId="26D2F92F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>- 115 уведомлений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дома;</w:t>
      </w:r>
    </w:p>
    <w:p w14:paraId="06AE58CB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>- 30 разрешений на ввод объектов в эксплуатацию;</w:t>
      </w:r>
    </w:p>
    <w:p w14:paraId="6991199E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>- 92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деятельности;</w:t>
      </w:r>
    </w:p>
    <w:p w14:paraId="7E90B33D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>- принято 39 постановлений администрации округа об утверждении градостроительного плана земельного участка;</w:t>
      </w:r>
    </w:p>
    <w:p w14:paraId="10391A22" w14:textId="77777777" w:rsidR="002C7082" w:rsidRPr="00F20A65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A65">
        <w:rPr>
          <w:rFonts w:ascii="Times New Roman" w:eastAsia="Calibri" w:hAnsi="Times New Roman" w:cs="Times New Roman"/>
          <w:sz w:val="28"/>
          <w:szCs w:val="28"/>
        </w:rPr>
        <w:t xml:space="preserve">- разрешение на установку и эксплуатацию рекламных конструкций. </w:t>
      </w:r>
    </w:p>
    <w:p w14:paraId="79AC3E46" w14:textId="4B9EA5D4" w:rsidR="002C7082" w:rsidRPr="00B63249" w:rsidRDefault="002C7082" w:rsidP="002C7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отчетном году </w:t>
      </w:r>
      <w:r w:rsidR="00DB5279">
        <w:rPr>
          <w:rFonts w:ascii="Times New Roman" w:eastAsia="Calibri" w:hAnsi="Times New Roman" w:cs="Times New Roman"/>
          <w:sz w:val="28"/>
          <w:szCs w:val="28"/>
        </w:rPr>
        <w:t>в</w:t>
      </w:r>
      <w:r w:rsidRPr="00F20A65">
        <w:rPr>
          <w:rFonts w:ascii="Times New Roman" w:eastAsia="Calibri" w:hAnsi="Times New Roman" w:cs="Times New Roman"/>
          <w:sz w:val="28"/>
          <w:szCs w:val="28"/>
        </w:rPr>
        <w:t>ведены в эксплуатацию 63</w:t>
      </w:r>
      <w:r>
        <w:rPr>
          <w:rFonts w:ascii="Times New Roman" w:eastAsia="Calibri" w:hAnsi="Times New Roman" w:cs="Times New Roman"/>
          <w:sz w:val="28"/>
          <w:szCs w:val="28"/>
        </w:rPr>
        <w:t>49</w:t>
      </w:r>
      <w:r w:rsidRPr="00F20A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20A65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F20A65">
        <w:rPr>
          <w:rFonts w:ascii="Times New Roman" w:eastAsia="Calibri" w:hAnsi="Times New Roman" w:cs="Times New Roman"/>
          <w:sz w:val="28"/>
          <w:szCs w:val="28"/>
        </w:rPr>
        <w:t xml:space="preserve">. жилья (доля ИЖС - 100%), </w:t>
      </w:r>
      <w:r>
        <w:rPr>
          <w:rFonts w:ascii="Times New Roman" w:eastAsia="Calibri" w:hAnsi="Times New Roman" w:cs="Times New Roman"/>
          <w:sz w:val="28"/>
          <w:szCs w:val="28"/>
        </w:rPr>
        <w:t>в результате о</w:t>
      </w:r>
      <w:r w:rsidRPr="00B63249">
        <w:rPr>
          <w:rFonts w:ascii="Times New Roman" w:eastAsia="Calibri" w:hAnsi="Times New Roman" w:cs="Times New Roman"/>
          <w:sz w:val="28"/>
          <w:szCs w:val="28"/>
        </w:rPr>
        <w:t>бщая площадь жилых помещений, приходящаяся в среднем на одного жителя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увеличилась до 24,6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DC5E07" w14:textId="5FDDFEE9" w:rsidR="009454E4" w:rsidRDefault="009454E4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2.3.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423141"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029899DB" w14:textId="77777777" w:rsidR="00996CFB" w:rsidRPr="00996CFB" w:rsidRDefault="00996CFB" w:rsidP="00996C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CFB">
        <w:rPr>
          <w:rFonts w:ascii="Times New Roman" w:eastAsia="Calibri" w:hAnsi="Times New Roman" w:cs="Times New Roman"/>
          <w:sz w:val="28"/>
          <w:szCs w:val="28"/>
        </w:rPr>
        <w:t xml:space="preserve">Общая протяженность автомобильных дорог общего пользования местного значения составляет 755,6 километра. Ремонт и содержание автомобильных дорог общего пользования местного значения осуществлялись в ходе реализации муниципальной программы «Развитие транспортной системы и обеспечение безопасности дорожного движения». Исполнение по программе составило 169,2 миллиона рублей, что составляет 8,0% в структуре расходов бюджета округа. Финансирование работ осуществлялось как из местного бюджета, так и на средства краевого бюджета. </w:t>
      </w:r>
    </w:p>
    <w:p w14:paraId="628917AB" w14:textId="18A15FD9" w:rsidR="002C7082" w:rsidRDefault="00996CFB" w:rsidP="00996C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CFB">
        <w:rPr>
          <w:rFonts w:ascii="Times New Roman" w:eastAsia="Calibri" w:hAnsi="Times New Roman" w:cs="Times New Roman"/>
          <w:sz w:val="28"/>
          <w:szCs w:val="28"/>
        </w:rPr>
        <w:t xml:space="preserve">Общая протяженность отремонтированных автомобильных дорог составила 29,51 километра, в т.ч. асфальтобетон – 20,6 километра, щебеночное покрытие – 8,91 километра. Отремонтированы дороги в городе Светлограде, селах Ореховка, Высоцкое, Гофицкое, Сухая Буйвола, Просянка, Донская Балка, </w:t>
      </w:r>
      <w:proofErr w:type="spellStart"/>
      <w:r w:rsidRPr="00996CFB">
        <w:rPr>
          <w:rFonts w:ascii="Times New Roman" w:eastAsia="Calibri" w:hAnsi="Times New Roman" w:cs="Times New Roman"/>
          <w:sz w:val="28"/>
          <w:szCs w:val="28"/>
        </w:rPr>
        <w:t>Константиновское</w:t>
      </w:r>
      <w:proofErr w:type="spellEnd"/>
      <w:r w:rsidRPr="00996CFB">
        <w:rPr>
          <w:rFonts w:ascii="Times New Roman" w:eastAsia="Calibri" w:hAnsi="Times New Roman" w:cs="Times New Roman"/>
          <w:sz w:val="28"/>
          <w:szCs w:val="28"/>
        </w:rPr>
        <w:t xml:space="preserve">, Благодатное, Николина Балка, </w:t>
      </w:r>
      <w:proofErr w:type="spellStart"/>
      <w:r w:rsidRPr="00996CFB">
        <w:rPr>
          <w:rFonts w:ascii="Times New Roman" w:eastAsia="Calibri" w:hAnsi="Times New Roman" w:cs="Times New Roman"/>
          <w:sz w:val="28"/>
          <w:szCs w:val="28"/>
        </w:rPr>
        <w:t>Шангала</w:t>
      </w:r>
      <w:proofErr w:type="spellEnd"/>
      <w:r w:rsidRPr="00996CF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96CFB">
        <w:rPr>
          <w:rFonts w:ascii="Times New Roman" w:eastAsia="Calibri" w:hAnsi="Times New Roman" w:cs="Times New Roman"/>
          <w:sz w:val="28"/>
          <w:szCs w:val="28"/>
        </w:rPr>
        <w:t>Шведино</w:t>
      </w:r>
      <w:proofErr w:type="spellEnd"/>
      <w:r w:rsidRPr="00996CFB">
        <w:rPr>
          <w:rFonts w:ascii="Times New Roman" w:eastAsia="Calibri" w:hAnsi="Times New Roman" w:cs="Times New Roman"/>
          <w:sz w:val="28"/>
          <w:szCs w:val="28"/>
        </w:rPr>
        <w:t xml:space="preserve">, поселках Рогатая Балка и </w:t>
      </w:r>
      <w:proofErr w:type="spellStart"/>
      <w:r w:rsidRPr="00996CFB">
        <w:rPr>
          <w:rFonts w:ascii="Times New Roman" w:eastAsia="Calibri" w:hAnsi="Times New Roman" w:cs="Times New Roman"/>
          <w:sz w:val="28"/>
          <w:szCs w:val="28"/>
        </w:rPr>
        <w:t>Прикалаусский</w:t>
      </w:r>
      <w:proofErr w:type="spellEnd"/>
      <w:r w:rsidRPr="00996CFB">
        <w:rPr>
          <w:rFonts w:ascii="Times New Roman" w:eastAsia="Calibri" w:hAnsi="Times New Roman" w:cs="Times New Roman"/>
          <w:sz w:val="28"/>
          <w:szCs w:val="28"/>
        </w:rPr>
        <w:t xml:space="preserve">, хутор Вознесенский. Выполнен ремонт подъездных дорог к поселкам Рогатая </w:t>
      </w:r>
      <w:r w:rsidRPr="00996C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Балка, </w:t>
      </w:r>
      <w:proofErr w:type="spellStart"/>
      <w:r w:rsidRPr="00996CFB">
        <w:rPr>
          <w:rFonts w:ascii="Times New Roman" w:eastAsia="Calibri" w:hAnsi="Times New Roman" w:cs="Times New Roman"/>
          <w:sz w:val="28"/>
          <w:szCs w:val="28"/>
        </w:rPr>
        <w:t>Прикалаусский</w:t>
      </w:r>
      <w:proofErr w:type="spellEnd"/>
      <w:r w:rsidRPr="00996CFB">
        <w:rPr>
          <w:rFonts w:ascii="Times New Roman" w:eastAsia="Calibri" w:hAnsi="Times New Roman" w:cs="Times New Roman"/>
          <w:sz w:val="28"/>
          <w:szCs w:val="28"/>
        </w:rPr>
        <w:t>, Пшеничный, Цветочный, селу Донская Балка, автомобильной дороги общего пользования местного значения Светлоград - Просянка. Отремонтировано 6,1 километра тротуаров на автомобильных дорогах общего пользования в Светлограде и селе Ореховка.</w:t>
      </w:r>
    </w:p>
    <w:p w14:paraId="01E6CB59" w14:textId="0A568476" w:rsidR="00996CFB" w:rsidRPr="00996CFB" w:rsidRDefault="00996CFB" w:rsidP="00996C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CFB">
        <w:rPr>
          <w:rFonts w:ascii="Times New Roman" w:eastAsia="Calibri" w:hAnsi="Times New Roman" w:cs="Times New Roman"/>
          <w:sz w:val="28"/>
          <w:szCs w:val="28"/>
        </w:rPr>
        <w:t>В результате проделанной работы протяжённость автомобильных дорог общего пользования местного значения, не отвечающих нормативным требованиям, сократилась до 347,4 километра, а их доля в общей протяженности автомобильных дорог общего пользования местного значения - до 45,98%.</w:t>
      </w:r>
    </w:p>
    <w:p w14:paraId="2F3E6409" w14:textId="77777777" w:rsidR="00423141" w:rsidRPr="00B37CED" w:rsidRDefault="00423141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37CED">
        <w:rPr>
          <w:rFonts w:ascii="Times New Roman" w:eastAsia="Times New Roman" w:hAnsi="Times New Roman" w:cs="Times New Roman"/>
          <w:i/>
          <w:iCs/>
          <w:sz w:val="28"/>
          <w:szCs w:val="28"/>
        </w:rPr>
        <w:t>2.4.</w:t>
      </w:r>
      <w:r w:rsidRPr="00B37CED">
        <w:rPr>
          <w:rFonts w:ascii="Times New Roman" w:hAnsi="Times New Roman" w:cs="Times New Roman"/>
          <w:sz w:val="28"/>
          <w:szCs w:val="28"/>
        </w:rPr>
        <w:t xml:space="preserve"> </w:t>
      </w:r>
      <w:r w:rsidRPr="00B37CED">
        <w:rPr>
          <w:rFonts w:ascii="Times New Roman" w:eastAsia="Times New Roman" w:hAnsi="Times New Roman" w:cs="Times New Roman"/>
          <w:i/>
          <w:iCs/>
          <w:sz w:val="28"/>
          <w:szCs w:val="28"/>
        </w:rPr>
        <w:t>Уровень износа коммунальной инфраструктуры.</w:t>
      </w:r>
    </w:p>
    <w:p w14:paraId="07908756" w14:textId="77777777" w:rsidR="009E2683" w:rsidRPr="00D91648" w:rsidRDefault="00D205B8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648">
        <w:rPr>
          <w:rFonts w:ascii="Times New Roman" w:eastAsia="Times New Roman" w:hAnsi="Times New Roman" w:cs="Times New Roman"/>
          <w:sz w:val="28"/>
          <w:szCs w:val="28"/>
        </w:rPr>
        <w:t xml:space="preserve">Среднегодовая стоимость основных </w:t>
      </w:r>
      <w:r w:rsidR="00BB155A" w:rsidRPr="00D91648">
        <w:rPr>
          <w:rFonts w:ascii="Times New Roman" w:eastAsia="Times New Roman" w:hAnsi="Times New Roman" w:cs="Times New Roman"/>
          <w:sz w:val="28"/>
          <w:szCs w:val="28"/>
        </w:rPr>
        <w:t>фондов</w:t>
      </w:r>
      <w:r w:rsidRPr="00D91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55A" w:rsidRPr="00D91648">
        <w:rPr>
          <w:rFonts w:ascii="Times New Roman" w:eastAsia="Times New Roman" w:hAnsi="Times New Roman" w:cs="Times New Roman"/>
          <w:sz w:val="28"/>
          <w:szCs w:val="28"/>
        </w:rPr>
        <w:t>предприятий и</w:t>
      </w:r>
      <w:r w:rsidRPr="00D91648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</w:t>
      </w:r>
      <w:r w:rsidR="00010916" w:rsidRPr="00D91648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D91648">
        <w:rPr>
          <w:rFonts w:ascii="Times New Roman" w:eastAsia="Times New Roman" w:hAnsi="Times New Roman" w:cs="Times New Roman"/>
          <w:sz w:val="28"/>
          <w:szCs w:val="28"/>
        </w:rPr>
        <w:t xml:space="preserve">по итогам 2018 года составляла </w:t>
      </w:r>
      <w:r w:rsidR="00BB155A" w:rsidRPr="00D91648">
        <w:rPr>
          <w:rFonts w:ascii="Times New Roman" w:eastAsia="Times New Roman" w:hAnsi="Times New Roman" w:cs="Times New Roman"/>
          <w:sz w:val="28"/>
          <w:szCs w:val="28"/>
        </w:rPr>
        <w:t>9 435,45 млн. рублей. Степень износа основных фондов - 56,6%.</w:t>
      </w:r>
    </w:p>
    <w:p w14:paraId="4EA4AE75" w14:textId="73E2438D" w:rsidR="00BB155A" w:rsidRDefault="00BB155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648">
        <w:rPr>
          <w:rFonts w:ascii="Times New Roman" w:eastAsia="Times New Roman" w:hAnsi="Times New Roman" w:cs="Times New Roman"/>
          <w:sz w:val="28"/>
          <w:szCs w:val="28"/>
        </w:rPr>
        <w:t>В экономической структуре наибольший уровень износа основных средств отмечается по виду экономической деятельности «Водоснабжение; водоотведение, организация сбора и утилизация отходов, деятельность по ликвидации загрязнений», где значение показателя составляет 63,7%. В структуре основных фондов</w:t>
      </w:r>
      <w:r w:rsidR="00010916" w:rsidRPr="00D91648">
        <w:rPr>
          <w:rFonts w:ascii="Times New Roman" w:eastAsia="Times New Roman" w:hAnsi="Times New Roman" w:cs="Times New Roman"/>
          <w:sz w:val="28"/>
          <w:szCs w:val="28"/>
        </w:rPr>
        <w:t xml:space="preserve"> данного вида экономической деятельности</w:t>
      </w:r>
      <w:r w:rsidRPr="00D91648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износа зданий - 94,3%, сооружений - 88,2%</w:t>
      </w:r>
      <w:r w:rsidR="000E139F" w:rsidRPr="00D9164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466A57" w14:textId="0B6B5542" w:rsidR="006349A6" w:rsidRPr="006349A6" w:rsidRDefault="006349A6" w:rsidP="00DB5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тем, что сведения о </w:t>
      </w:r>
      <w:r w:rsidRPr="006349A6">
        <w:rPr>
          <w:rFonts w:ascii="Times New Roman" w:eastAsia="Times New Roman" w:hAnsi="Times New Roman" w:cs="Times New Roman"/>
          <w:sz w:val="28"/>
          <w:szCs w:val="28"/>
        </w:rPr>
        <w:t xml:space="preserve">наличии и движении основных фондов (средств) и других нефинансовых активов </w:t>
      </w:r>
      <w:r>
        <w:rPr>
          <w:rFonts w:ascii="Times New Roman" w:eastAsia="Times New Roman" w:hAnsi="Times New Roman" w:cs="Times New Roman"/>
          <w:sz w:val="28"/>
          <w:szCs w:val="28"/>
        </w:rPr>
        <w:t>коммерческих и некоммерческих предприятий предоставляются в органы</w:t>
      </w:r>
      <w:r w:rsidR="00B37CED" w:rsidRPr="00B37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CED">
        <w:rPr>
          <w:rFonts w:ascii="Times New Roman" w:eastAsia="Times New Roman" w:hAnsi="Times New Roman" w:cs="Times New Roman"/>
          <w:sz w:val="28"/>
          <w:szCs w:val="28"/>
        </w:rPr>
        <w:t xml:space="preserve">Федеральной службы статистики </w:t>
      </w:r>
      <w:r w:rsidR="00B37CED" w:rsidRPr="00B37CED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срок до 01 апреля следующего за отчетным</w:t>
      </w:r>
      <w:r w:rsidR="00B37CED">
        <w:rPr>
          <w:rFonts w:ascii="Times New Roman" w:eastAsia="Times New Roman" w:hAnsi="Times New Roman" w:cs="Times New Roman"/>
          <w:sz w:val="28"/>
          <w:szCs w:val="28"/>
        </w:rPr>
        <w:t xml:space="preserve">, фактическое значение показателя за 2019 год в целом по округу на настоящий момент </w:t>
      </w:r>
      <w:r w:rsidR="00DB5279" w:rsidRPr="00DB5279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DB527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B5279" w:rsidRPr="00DB5279">
        <w:rPr>
          <w:rFonts w:ascii="Times New Roman" w:eastAsia="Times New Roman" w:hAnsi="Times New Roman" w:cs="Times New Roman"/>
          <w:sz w:val="28"/>
          <w:szCs w:val="28"/>
        </w:rPr>
        <w:t xml:space="preserve"> Федеральной службы</w:t>
      </w:r>
      <w:r w:rsidR="00DB52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79" w:rsidRPr="00DB5279">
        <w:rPr>
          <w:rFonts w:ascii="Times New Roman" w:eastAsia="Times New Roman" w:hAnsi="Times New Roman" w:cs="Times New Roman"/>
          <w:sz w:val="28"/>
          <w:szCs w:val="28"/>
        </w:rPr>
        <w:t>государственной статистики по</w:t>
      </w:r>
      <w:r w:rsidR="00DB52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79" w:rsidRPr="00DB5279">
        <w:rPr>
          <w:rFonts w:ascii="Times New Roman" w:eastAsia="Times New Roman" w:hAnsi="Times New Roman" w:cs="Times New Roman"/>
          <w:sz w:val="28"/>
          <w:szCs w:val="28"/>
        </w:rPr>
        <w:t xml:space="preserve">Северо-Кавказскому федеральному округу </w:t>
      </w:r>
      <w:r w:rsidR="00B37CED">
        <w:rPr>
          <w:rFonts w:ascii="Times New Roman" w:eastAsia="Times New Roman" w:hAnsi="Times New Roman" w:cs="Times New Roman"/>
          <w:sz w:val="28"/>
          <w:szCs w:val="28"/>
        </w:rPr>
        <w:t>не сформировано.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C58B88" w14:textId="77777777" w:rsidR="00423141" w:rsidRPr="000477A6" w:rsidRDefault="00423141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2.5. Количество реализуемых проектов по благоустройству населенных пунктов, основанных на инициативах населения округа.</w:t>
      </w:r>
    </w:p>
    <w:p w14:paraId="27441A59" w14:textId="43F99B50" w:rsidR="00861491" w:rsidRDefault="00D1228F" w:rsidP="00E2179E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77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2019 год </w:t>
      </w:r>
      <w:r w:rsidR="00996C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реализовано на территории округа </w:t>
      </w:r>
      <w:r w:rsidRPr="000477A6">
        <w:rPr>
          <w:rFonts w:ascii="Times New Roman" w:eastAsia="Calibri" w:hAnsi="Times New Roman" w:cs="Times New Roman"/>
          <w:sz w:val="28"/>
          <w:szCs w:val="28"/>
          <w:lang w:eastAsia="en-US"/>
        </w:rPr>
        <w:t>17 проектов, основанных на местных инициативах</w:t>
      </w:r>
      <w:r w:rsidR="009954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общая стоимость проектов </w:t>
      </w:r>
      <w:r w:rsidR="009954B5"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>53</w:t>
      </w:r>
      <w:r w:rsidR="009954B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954B5"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>967</w:t>
      </w:r>
      <w:r w:rsidR="009954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,2 тыс. рублей. </w:t>
      </w:r>
      <w:r w:rsidR="00861491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проектов осуществлялась в рамках муниципальных программ:</w:t>
      </w:r>
    </w:p>
    <w:p w14:paraId="20306A53" w14:textId="20487682" w:rsidR="00861491" w:rsidRDefault="00861491" w:rsidP="000477A6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«Социальное развитие» (4 проекта в селах Благодатное, Высоцкое, Сухая Буйвола</w:t>
      </w:r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>Шангала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14:paraId="1B86AFC2" w14:textId="31D2EA02" w:rsidR="000A2FB9" w:rsidRDefault="00861491" w:rsidP="000477A6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«Культура Петровского городского округа» (3 проекта в селах Ореховка, Сухая Буйвола, Просянка);</w:t>
      </w:r>
    </w:p>
    <w:p w14:paraId="26DC117A" w14:textId="142D0E3B" w:rsidR="00861491" w:rsidRDefault="00861491" w:rsidP="000477A6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«развитие жилищно-коммунального хозяйства» (7 проектов в селах Гофицкое, Донская Балка, </w:t>
      </w:r>
      <w:proofErr w:type="spellStart"/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>Константиновское</w:t>
      </w:r>
      <w:proofErr w:type="spellEnd"/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Николина Балка, </w:t>
      </w:r>
      <w:proofErr w:type="spellStart"/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>Шведино</w:t>
      </w:r>
      <w:proofErr w:type="spellEnd"/>
      <w:r w:rsidR="006312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городе Светлограде);</w:t>
      </w:r>
    </w:p>
    <w:p w14:paraId="70C2E07A" w14:textId="77777777" w:rsidR="00631247" w:rsidRDefault="00631247" w:rsidP="000477A6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«</w:t>
      </w:r>
      <w:r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транспортной системы и обеспечение безопасности дорожного движения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(3 проекта в поселках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Прикалаусский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Рогатая Балка и городе Светлограде).</w:t>
      </w:r>
    </w:p>
    <w:p w14:paraId="58C57EDC" w14:textId="1F6662FF" w:rsidR="00631247" w:rsidRDefault="00631247" w:rsidP="00E2179E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Участие в реализации проектов </w:t>
      </w:r>
      <w:r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>безвозмездным трудом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приняли 723 человека</w:t>
      </w:r>
      <w:r w:rsidR="00E2179E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E2179E" w:rsidRPr="00E217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2179E"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нефинансовый вклад </w:t>
      </w:r>
      <w:r w:rsidR="00E217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E2179E"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 и организаций товарами и услугами </w:t>
      </w:r>
      <w:r w:rsidR="00E217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оценивается в сумму </w:t>
      </w:r>
      <w:r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>767</w:t>
      </w:r>
      <w:r w:rsidR="00E2179E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31247"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="00E217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рублей. </w:t>
      </w:r>
    </w:p>
    <w:p w14:paraId="1CEAE3A7" w14:textId="77777777" w:rsidR="009E2683" w:rsidRPr="000477A6" w:rsidRDefault="009E268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2.6. Доля преступлений, совершенных в общественных местах, в общем количестве преступлений, совершенных на территории округа.</w:t>
      </w:r>
    </w:p>
    <w:p w14:paraId="7A2C45AC" w14:textId="17D8F3E5" w:rsidR="009E2683" w:rsidRPr="000477A6" w:rsidRDefault="00B67075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9E9">
        <w:rPr>
          <w:rFonts w:ascii="Times New Roman" w:eastAsia="Times New Roman" w:hAnsi="Times New Roman" w:cs="Times New Roman"/>
          <w:sz w:val="28"/>
          <w:szCs w:val="28"/>
        </w:rPr>
        <w:t xml:space="preserve">За 12 месяцев </w:t>
      </w:r>
      <w:r w:rsidR="000A2FB9" w:rsidRPr="007709E9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C21491" w:rsidRPr="007709E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709E9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C21491" w:rsidRPr="007709E9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округа совершено </w:t>
      </w:r>
      <w:r w:rsidRPr="007709E9">
        <w:rPr>
          <w:rFonts w:ascii="Times New Roman" w:eastAsia="Times New Roman" w:hAnsi="Times New Roman" w:cs="Times New Roman"/>
          <w:sz w:val="28"/>
          <w:szCs w:val="28"/>
        </w:rPr>
        <w:t>726</w:t>
      </w:r>
      <w:r w:rsidR="00C21491" w:rsidRPr="007709E9">
        <w:rPr>
          <w:rFonts w:ascii="Times New Roman" w:eastAsia="Times New Roman" w:hAnsi="Times New Roman" w:cs="Times New Roman"/>
          <w:sz w:val="28"/>
          <w:szCs w:val="28"/>
        </w:rPr>
        <w:t xml:space="preserve"> преступлений</w:t>
      </w:r>
      <w:r w:rsidR="007709E9" w:rsidRPr="007709E9">
        <w:rPr>
          <w:rFonts w:ascii="Times New Roman" w:eastAsia="Times New Roman" w:hAnsi="Times New Roman" w:cs="Times New Roman"/>
          <w:sz w:val="28"/>
          <w:szCs w:val="28"/>
        </w:rPr>
        <w:t xml:space="preserve"> (в 2018 году - 738 преступлений). Их общего количества совершенных преступлений в общественных местах совершено </w:t>
      </w:r>
      <w:r w:rsidR="003D1A5B" w:rsidRPr="007709E9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709E9">
        <w:rPr>
          <w:rFonts w:ascii="Times New Roman" w:eastAsia="Times New Roman" w:hAnsi="Times New Roman" w:cs="Times New Roman"/>
          <w:sz w:val="28"/>
          <w:szCs w:val="28"/>
        </w:rPr>
        <w:t>6</w:t>
      </w:r>
      <w:r w:rsidR="00C21491" w:rsidRPr="007709E9">
        <w:rPr>
          <w:rFonts w:ascii="Times New Roman" w:eastAsia="Times New Roman" w:hAnsi="Times New Roman" w:cs="Times New Roman"/>
          <w:sz w:val="28"/>
          <w:szCs w:val="28"/>
        </w:rPr>
        <w:t xml:space="preserve"> преступлений, </w:t>
      </w:r>
      <w:r w:rsidR="007709E9" w:rsidRPr="007709E9">
        <w:rPr>
          <w:rFonts w:ascii="Times New Roman" w:eastAsia="Times New Roman" w:hAnsi="Times New Roman" w:cs="Times New Roman"/>
          <w:sz w:val="28"/>
          <w:szCs w:val="28"/>
        </w:rPr>
        <w:t>что составляет 27,0% в общей количестве преступлений.</w:t>
      </w:r>
      <w:r w:rsidR="00C21491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09E9">
        <w:rPr>
          <w:rFonts w:ascii="Times New Roman" w:eastAsia="Times New Roman" w:hAnsi="Times New Roman" w:cs="Times New Roman"/>
          <w:sz w:val="28"/>
          <w:szCs w:val="28"/>
        </w:rPr>
        <w:t xml:space="preserve">В сравнении с 2018 годом отмечается снижение преступлений, совершенных несовершеннолетними и с их участием на 11,8% (15 против 17 в 2018 году). </w:t>
      </w:r>
    </w:p>
    <w:p w14:paraId="0F79C6AE" w14:textId="77777777" w:rsidR="009E2683" w:rsidRPr="000477A6" w:rsidRDefault="009E268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2.7. Доля населения, проживающего на защищенной в результате проведения противопаводковых мероприятий территории округа, в общей численности населения, проживающего на территории округа, подверженной негативному воздействию вод.</w:t>
      </w:r>
    </w:p>
    <w:p w14:paraId="4DC7C9F7" w14:textId="4F58EB37" w:rsidR="002C02A2" w:rsidRPr="000477A6" w:rsidRDefault="002C02A2" w:rsidP="0004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6">
        <w:rPr>
          <w:rFonts w:ascii="Times New Roman" w:hAnsi="Times New Roman" w:cs="Times New Roman"/>
          <w:color w:val="000000"/>
          <w:sz w:val="28"/>
          <w:szCs w:val="28"/>
        </w:rPr>
        <w:t xml:space="preserve">В 2019 году были завершены работы по расчистке русла р. </w:t>
      </w:r>
      <w:proofErr w:type="spellStart"/>
      <w:r w:rsidRPr="000477A6">
        <w:rPr>
          <w:rFonts w:ascii="Times New Roman" w:hAnsi="Times New Roman" w:cs="Times New Roman"/>
          <w:color w:val="000000"/>
          <w:sz w:val="28"/>
          <w:szCs w:val="28"/>
        </w:rPr>
        <w:t>Берестовка</w:t>
      </w:r>
      <w:proofErr w:type="spellEnd"/>
      <w:r w:rsidRPr="000477A6">
        <w:rPr>
          <w:rFonts w:ascii="Times New Roman" w:hAnsi="Times New Roman" w:cs="Times New Roman"/>
          <w:color w:val="000000"/>
          <w:sz w:val="28"/>
          <w:szCs w:val="28"/>
        </w:rPr>
        <w:t xml:space="preserve"> в с. Благодатное Петровского района</w:t>
      </w:r>
      <w:r w:rsidR="006301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161" w:rsidRPr="00630161">
        <w:rPr>
          <w:rFonts w:ascii="Times New Roman" w:eastAsia="Calibri" w:hAnsi="Times New Roman" w:cs="Times New Roman"/>
          <w:sz w:val="28"/>
          <w:szCs w:val="28"/>
        </w:rPr>
        <w:t>и отремонтирован паводковый сброс гидросооружения противоэрозийного пруда в с. Шведино</w:t>
      </w:r>
      <w:r w:rsidR="00630161">
        <w:rPr>
          <w:rFonts w:ascii="Times New Roman" w:eastAsia="Calibri" w:hAnsi="Times New Roman" w:cs="Times New Roman"/>
          <w:sz w:val="28"/>
          <w:szCs w:val="28"/>
        </w:rPr>
        <w:t xml:space="preserve">. Проведена инвентаризация </w:t>
      </w:r>
      <w:r w:rsidRPr="000477A6">
        <w:rPr>
          <w:rFonts w:ascii="Times New Roman" w:hAnsi="Times New Roman" w:cs="Times New Roman"/>
          <w:color w:val="000000"/>
          <w:sz w:val="28"/>
          <w:szCs w:val="28"/>
        </w:rPr>
        <w:t>гидротехнических сооружений</w:t>
      </w:r>
      <w:r w:rsidR="00630161">
        <w:rPr>
          <w:rFonts w:ascii="Times New Roman" w:hAnsi="Times New Roman" w:cs="Times New Roman"/>
          <w:color w:val="000000"/>
          <w:sz w:val="28"/>
          <w:szCs w:val="28"/>
        </w:rPr>
        <w:t>, расположенных в округе, информация направлена в</w:t>
      </w:r>
      <w:r w:rsidRPr="000477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161" w:rsidRPr="000477A6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природных ресурсов и охраны окружающей среды Ставропольского края </w:t>
      </w:r>
      <w:r w:rsidRPr="000477A6">
        <w:rPr>
          <w:rFonts w:ascii="Times New Roman" w:hAnsi="Times New Roman" w:cs="Times New Roman"/>
          <w:color w:val="000000"/>
          <w:sz w:val="28"/>
          <w:szCs w:val="28"/>
        </w:rPr>
        <w:t>в программном комплексе «Геоинформационной системы гидротехнических сооружений Ставропольского края».</w:t>
      </w:r>
    </w:p>
    <w:p w14:paraId="049BF0E2" w14:textId="1E8C5FBE" w:rsidR="002C02A2" w:rsidRDefault="002C02A2" w:rsidP="000477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0477A6">
        <w:rPr>
          <w:rFonts w:ascii="Times New Roman" w:hAnsi="Times New Roman" w:cs="Times New Roman"/>
          <w:color w:val="000000"/>
          <w:sz w:val="28"/>
          <w:szCs w:val="28"/>
        </w:rPr>
        <w:t>Подана заявка в министерство природных ресурсов и охраны окружающей среды Ставропольского края для включения в государственную программу Ставропольского края «Охрана окружающей среды» по следующим объектам: капитальный ремонт гидротехнических сооружений в с. Сухая Буйвола,</w:t>
      </w:r>
      <w:r w:rsidRPr="000477A6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расчистка русла р. Мокрая Буйвола в с. Высоцком протяженностью 6,5 км. </w:t>
      </w:r>
    </w:p>
    <w:p w14:paraId="0A41AC5B" w14:textId="59C81711" w:rsidR="00A14CB7" w:rsidRPr="00866664" w:rsidRDefault="00866664" w:rsidP="0004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664">
        <w:rPr>
          <w:rFonts w:ascii="Times New Roman" w:hAnsi="Times New Roman" w:cs="Times New Roman"/>
          <w:sz w:val="28"/>
          <w:szCs w:val="28"/>
        </w:rPr>
        <w:t>Доля населения, проживающего на защищенной в результате проведения противопаводковых мероприятий территории округа, в общей численности населения, проживающего на территории округа, подверженной негативному воздействию вод</w:t>
      </w:r>
      <w:r w:rsidR="009954B5">
        <w:rPr>
          <w:rFonts w:ascii="Times New Roman" w:hAnsi="Times New Roman" w:cs="Times New Roman"/>
          <w:sz w:val="28"/>
          <w:szCs w:val="28"/>
        </w:rPr>
        <w:t xml:space="preserve"> </w:t>
      </w:r>
      <w:r w:rsidRPr="00866664">
        <w:rPr>
          <w:rFonts w:ascii="Times New Roman" w:hAnsi="Times New Roman" w:cs="Times New Roman"/>
          <w:sz w:val="28"/>
          <w:szCs w:val="28"/>
        </w:rPr>
        <w:t>- 90,0%.</w:t>
      </w:r>
    </w:p>
    <w:p w14:paraId="6D74D402" w14:textId="77777777" w:rsidR="009E2683" w:rsidRPr="000477A6" w:rsidRDefault="009E268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i/>
          <w:iCs/>
          <w:sz w:val="28"/>
          <w:szCs w:val="28"/>
        </w:rPr>
        <w:t>2.8. Количество несанкционированных свалок на территории округа.</w:t>
      </w:r>
    </w:p>
    <w:p w14:paraId="7348A4BF" w14:textId="472349AE" w:rsidR="003A0FC0" w:rsidRPr="006707F5" w:rsidRDefault="003A0FC0" w:rsidP="006707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проводился м</w:t>
      </w:r>
      <w:r w:rsidRPr="003A0FC0">
        <w:rPr>
          <w:rFonts w:ascii="Times New Roman" w:hAnsi="Times New Roman" w:cs="Times New Roman"/>
          <w:sz w:val="28"/>
          <w:szCs w:val="28"/>
        </w:rPr>
        <w:t xml:space="preserve">ониторинг по производственному </w:t>
      </w:r>
      <w:r w:rsidRPr="004B7746">
        <w:rPr>
          <w:rFonts w:ascii="Times New Roman" w:hAnsi="Times New Roman" w:cs="Times New Roman"/>
          <w:sz w:val="28"/>
          <w:szCs w:val="28"/>
        </w:rPr>
        <w:t xml:space="preserve">экологическому контролю на территории </w:t>
      </w:r>
      <w:proofErr w:type="spellStart"/>
      <w:r w:rsidRPr="004B7746">
        <w:rPr>
          <w:rFonts w:ascii="Times New Roman" w:hAnsi="Times New Roman" w:cs="Times New Roman"/>
          <w:sz w:val="28"/>
          <w:szCs w:val="28"/>
        </w:rPr>
        <w:t>рекультивированной</w:t>
      </w:r>
      <w:proofErr w:type="spellEnd"/>
      <w:r w:rsidRPr="004B7746">
        <w:rPr>
          <w:rFonts w:ascii="Times New Roman" w:hAnsi="Times New Roman" w:cs="Times New Roman"/>
          <w:sz w:val="28"/>
          <w:szCs w:val="28"/>
        </w:rPr>
        <w:t xml:space="preserve"> свалки </w:t>
      </w:r>
      <w:proofErr w:type="spellStart"/>
      <w:r w:rsidRPr="004B7746">
        <w:rPr>
          <w:rFonts w:ascii="Times New Roman" w:hAnsi="Times New Roman" w:cs="Times New Roman"/>
          <w:sz w:val="28"/>
          <w:szCs w:val="28"/>
        </w:rPr>
        <w:t>г.Светлограда</w:t>
      </w:r>
      <w:proofErr w:type="spellEnd"/>
      <w:r w:rsidRPr="004B7746">
        <w:rPr>
          <w:rFonts w:ascii="Times New Roman" w:hAnsi="Times New Roman" w:cs="Times New Roman"/>
          <w:sz w:val="28"/>
          <w:szCs w:val="28"/>
        </w:rPr>
        <w:t>. В марте Ставропольским центром по гидрометеорологии и мониторингу загрязнения окружающей среды – филиалом ФГБУ «Северо-Кавказское УГМС» были отобраны пробы атмосферного воздуха (метан) из дренажной скважины и над поверхностью полигона. В июне и ноябре филиалом ФГБУ «</w:t>
      </w:r>
      <w:r w:rsidR="006707F5" w:rsidRPr="004B7746">
        <w:rPr>
          <w:rFonts w:ascii="Times New Roman" w:hAnsi="Times New Roman" w:cs="Times New Roman"/>
          <w:sz w:val="28"/>
          <w:szCs w:val="28"/>
        </w:rPr>
        <w:t xml:space="preserve">Центр лабораторного анализа и технических измерений по </w:t>
      </w:r>
      <w:r w:rsidR="004B7746" w:rsidRPr="004B7746">
        <w:rPr>
          <w:rFonts w:ascii="Times New Roman" w:hAnsi="Times New Roman" w:cs="Times New Roman"/>
          <w:sz w:val="28"/>
          <w:szCs w:val="28"/>
        </w:rPr>
        <w:t>Ю</w:t>
      </w:r>
      <w:r w:rsidR="006707F5" w:rsidRPr="004B7746">
        <w:rPr>
          <w:rFonts w:ascii="Times New Roman" w:hAnsi="Times New Roman" w:cs="Times New Roman"/>
          <w:sz w:val="28"/>
          <w:szCs w:val="28"/>
        </w:rPr>
        <w:t xml:space="preserve">жному федеральному округу» - </w:t>
      </w:r>
      <w:r w:rsidR="004B7746" w:rsidRPr="004B7746">
        <w:rPr>
          <w:rFonts w:ascii="Times New Roman" w:hAnsi="Times New Roman" w:cs="Times New Roman"/>
          <w:sz w:val="28"/>
          <w:szCs w:val="28"/>
        </w:rPr>
        <w:t>Центр лабораторного анализа и технических измерений</w:t>
      </w:r>
      <w:r w:rsidRPr="004B7746">
        <w:rPr>
          <w:rFonts w:ascii="Times New Roman" w:hAnsi="Times New Roman" w:cs="Times New Roman"/>
          <w:sz w:val="28"/>
          <w:szCs w:val="28"/>
        </w:rPr>
        <w:t xml:space="preserve"> по Ставропольскому краю были отобраны пробы атмосферного воздуха, воды, почвы. На основании предоставленных протоколов испытаний (измерений</w:t>
      </w:r>
      <w:r w:rsidRPr="003A0FC0">
        <w:rPr>
          <w:rFonts w:ascii="Times New Roman" w:hAnsi="Times New Roman" w:cs="Times New Roman"/>
          <w:sz w:val="28"/>
          <w:szCs w:val="28"/>
        </w:rPr>
        <w:t xml:space="preserve">) результаты замеров загрязнений по атмосферному воздуху, почвы и воды, а также поверхностных стоков (р. </w:t>
      </w:r>
      <w:proofErr w:type="spellStart"/>
      <w:r w:rsidRPr="003A0FC0">
        <w:rPr>
          <w:rFonts w:ascii="Times New Roman" w:hAnsi="Times New Roman" w:cs="Times New Roman"/>
          <w:sz w:val="28"/>
          <w:szCs w:val="28"/>
        </w:rPr>
        <w:lastRenderedPageBreak/>
        <w:t>Калаус</w:t>
      </w:r>
      <w:proofErr w:type="spellEnd"/>
      <w:r w:rsidRPr="003A0FC0">
        <w:rPr>
          <w:rFonts w:ascii="Times New Roman" w:hAnsi="Times New Roman" w:cs="Times New Roman"/>
          <w:sz w:val="28"/>
          <w:szCs w:val="28"/>
        </w:rPr>
        <w:t>) на границе СЗЗ (100 м от свалки) значительно ниже ПДК по всем веществам.</w:t>
      </w:r>
    </w:p>
    <w:p w14:paraId="3197D94D" w14:textId="6DE78FC1" w:rsidR="002C02A2" w:rsidRPr="00F43D6D" w:rsidRDefault="002C02A2" w:rsidP="00F43D6D">
      <w:pPr>
        <w:spacing w:after="0" w:line="240" w:lineRule="auto"/>
        <w:ind w:firstLine="708"/>
        <w:jc w:val="both"/>
        <w:rPr>
          <w:rFonts w:ascii="Calibri" w:eastAsia="Times New Roman" w:hAnsi="Calibri" w:cs="Calibri"/>
          <w:lang w:eastAsia="zh-CN"/>
        </w:rPr>
      </w:pPr>
      <w:bookmarkStart w:id="1" w:name="_Hlk19797795"/>
      <w:r w:rsidRPr="000477A6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F43D6D">
        <w:rPr>
          <w:rFonts w:ascii="Times New Roman" w:hAnsi="Times New Roman" w:cs="Times New Roman"/>
          <w:sz w:val="28"/>
          <w:szCs w:val="28"/>
        </w:rPr>
        <w:t xml:space="preserve">без привлечения средств </w:t>
      </w:r>
      <w:r w:rsidRPr="000477A6">
        <w:rPr>
          <w:rFonts w:ascii="Times New Roman" w:hAnsi="Times New Roman" w:cs="Times New Roman"/>
          <w:sz w:val="28"/>
          <w:szCs w:val="28"/>
        </w:rPr>
        <w:t>ликвидирован</w:t>
      </w:r>
      <w:r w:rsidR="00F43D6D">
        <w:rPr>
          <w:rFonts w:ascii="Times New Roman" w:hAnsi="Times New Roman" w:cs="Times New Roman"/>
          <w:sz w:val="28"/>
          <w:szCs w:val="28"/>
        </w:rPr>
        <w:t>ы</w:t>
      </w:r>
      <w:r w:rsidRPr="000477A6">
        <w:rPr>
          <w:rFonts w:ascii="Times New Roman" w:hAnsi="Times New Roman" w:cs="Times New Roman"/>
          <w:sz w:val="28"/>
          <w:szCs w:val="28"/>
        </w:rPr>
        <w:t xml:space="preserve"> 14 стихийных свалок</w:t>
      </w:r>
      <w:bookmarkEnd w:id="1"/>
      <w:r w:rsidR="00F43D6D">
        <w:rPr>
          <w:rFonts w:ascii="Times New Roman" w:hAnsi="Times New Roman" w:cs="Times New Roman"/>
          <w:sz w:val="28"/>
          <w:szCs w:val="28"/>
        </w:rPr>
        <w:t xml:space="preserve">, </w:t>
      </w:r>
      <w:r w:rsidR="00F43D6D" w:rsidRPr="003A0FC0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территории несанкционированных мест размещения твердых коммунальных отходов установлены</w:t>
      </w:r>
      <w:r w:rsidR="003A0FC0" w:rsidRPr="003A0F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32 информационной таблички «Свалка мусора запрещена»</w:t>
      </w:r>
      <w:r w:rsidR="00F43D6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5A1B98" w:rsidRPr="005A1B98">
        <w:t xml:space="preserve"> </w:t>
      </w:r>
      <w:r w:rsidR="005A1B98" w:rsidRPr="005A1B9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Количество несанкционированных свалок на территории округа</w:t>
      </w:r>
      <w:r w:rsidR="005A1B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итогам отчетного года составляет 17 единиц</w:t>
      </w:r>
      <w:r w:rsidR="005A1B98" w:rsidRPr="005A1B9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29782602" w14:textId="77777777" w:rsidR="00011D62" w:rsidRPr="000477A6" w:rsidRDefault="001B7600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/>
          <w:sz w:val="28"/>
          <w:szCs w:val="28"/>
        </w:rPr>
        <w:t>Цель 3. Создание условий для привлечения инвестиций и повышения уровня экономической активности</w:t>
      </w:r>
      <w:r w:rsidR="00437AAD" w:rsidRPr="000477A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156D5B3" w14:textId="06EBC7F9" w:rsidR="00C176EA" w:rsidRDefault="00C176E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3.1. Индекс физического объема инвестиций в основной капитал.</w:t>
      </w:r>
    </w:p>
    <w:p w14:paraId="1EACFAC6" w14:textId="59E7F3DC" w:rsidR="004D4CCB" w:rsidRPr="004D4CCB" w:rsidRDefault="00F43D6D" w:rsidP="004D4C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C31E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данным мониторинга в 2019 году хозяйствующими субъектами на развитие округа направлено </w:t>
      </w:r>
      <w:r w:rsidR="009C31E6" w:rsidRPr="009C31E6">
        <w:rPr>
          <w:rFonts w:ascii="Times New Roman" w:eastAsia="Times New Roman" w:hAnsi="Times New Roman" w:cs="Times New Roman"/>
          <w:bCs/>
          <w:sz w:val="28"/>
          <w:szCs w:val="28"/>
        </w:rPr>
        <w:t>2676,54</w:t>
      </w:r>
      <w:r w:rsidRPr="009C31E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млн. рублей</w:t>
      </w:r>
      <w:r w:rsidR="004D4CCB" w:rsidRPr="009C31E6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индекс физического объема инвестиций в основной </w:t>
      </w:r>
      <w:r w:rsidR="00AD2443" w:rsidRPr="009C31E6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капитал </w:t>
      </w:r>
      <w:r w:rsidR="004D4CCB" w:rsidRPr="009C31E6">
        <w:rPr>
          <w:rFonts w:ascii="Times New Roman" w:eastAsia="Times New Roman" w:hAnsi="Times New Roman" w:cs="Times New Roman"/>
          <w:bCs/>
          <w:sz w:val="28"/>
          <w:szCs w:val="28"/>
        </w:rPr>
        <w:t>к 2018 году составил 100,3%</w:t>
      </w:r>
      <w:r w:rsidR="00AD2443" w:rsidRPr="009C31E6">
        <w:rPr>
          <w:rFonts w:ascii="Times New Roman" w:eastAsia="Times New Roman" w:hAnsi="Times New Roman" w:cs="Times New Roman"/>
          <w:bCs/>
          <w:sz w:val="28"/>
          <w:szCs w:val="28"/>
        </w:rPr>
        <w:t xml:space="preserve"> (в сопоставимых ценах).</w:t>
      </w:r>
      <w:r w:rsidR="00AD244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E95E3BE" w14:textId="6D1D2F61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долю сельского хозяйства в общем объеме инвестиций приходится 34,0% или 790,0 млн. рублей, в основном средства были направлены на обновление машинотракторного парка и производственного инвентаря, а также на реализацию инвестиционных проектов. На развитие обрабатывающих производств направлен 521,0 млн. рублей или 22,5% общей суммы инвестиций, на развитие сфер торговли, услуг, связи - около 345,0 млн. рублей. </w:t>
      </w:r>
    </w:p>
    <w:p w14:paraId="174ECE10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Инвестиции за счет средств бюджетной системы Российской Федерации составили 567,86 млн. рублей. Объем средств федерального бюджета в сравнении с показателем 2018 года увеличился в 1,7 раза и составил 508,77 млн. рублей. В основном это средства, направленные на реконструкцию IV очереди БСК, проходящей по территории округа. Значительный объем бюджетных средств направлен на модернизацию и реконструкцию объектов социальной сферы в рамках реализации национальных и региональных проектов.</w:t>
      </w:r>
    </w:p>
    <w:p w14:paraId="5EE3577A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В 2019 году продолжался мониторинг реализации инвестиционных проектов, наиболее крупными их них являются: </w:t>
      </w:r>
    </w:p>
    <w:p w14:paraId="529FC34D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- «Реконструкция и модернизация существующих молочно-товарных комплексов», инициатор проекта ООО «Агропромышленная корпорация»;</w:t>
      </w:r>
    </w:p>
    <w:p w14:paraId="561454F6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- «Строительство площадок для зимнего содержания КРС», ООО «Хлебороб»;</w:t>
      </w:r>
    </w:p>
    <w:p w14:paraId="650C4219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- «Приобретение и реконструкция базы хранения минеральных удобрений в 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г.Светлограде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», ООО «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Фос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-Агро-Ставрополь»;</w:t>
      </w:r>
    </w:p>
    <w:p w14:paraId="2250A608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- «Создание в Петровском районе мусоросортировочного комплекса и предприятия по переработке вторсырья», ООО «Эко-Сити»;</w:t>
      </w:r>
    </w:p>
    <w:p w14:paraId="0AFE386F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- «Создание оросительной системы для получения гарантированных урожаев сельскохозяйственных культур», ООО «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Иррико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 - Холдинг».</w:t>
      </w:r>
    </w:p>
    <w:p w14:paraId="55C79E4A" w14:textId="77777777" w:rsidR="00F43D6D" w:rsidRPr="00F43D6D" w:rsidRDefault="00F43D6D" w:rsidP="00F43D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Оказана консультационная поддержка по вопросам выделения земельных участков для реализации инвестиционных проектов на территории округа АО «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НоваВинд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», ООО «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ЭнергоМин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-Юг», ООО «Лукойл-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Югнефтепродукт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», ООО «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СоВиТек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Рус».</w:t>
      </w:r>
    </w:p>
    <w:p w14:paraId="779F0307" w14:textId="24DD473B" w:rsidR="00AD2443" w:rsidRPr="00AD2443" w:rsidRDefault="00F43D6D" w:rsidP="00AD24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Администрацией налажено сотрудничество с НО «Фонд содействия инновационному развитию Ставропольского края»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вопросу реализации национального проекта «Повышение производительности труда и поддержка занятости»</w:t>
      </w: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.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сентябре участником национального проекта стало </w:t>
      </w: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ОАО «</w:t>
      </w:r>
      <w:proofErr w:type="spellStart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Светлоградагромаш</w:t>
      </w:r>
      <w:proofErr w:type="spellEnd"/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». За время участия в проекте на предприятии реорганизована работа участка производства лемехов, переоборудован и оптимизирован процесс производства, на обновление оборудования направлено 32,0 млн. рублей, что позволило сократить время изготовления деталей на 33%.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>ООО «Хлебороб» реализует мероприятия проекта самостоятельно, специалисты предприятия обучены, а вновь поступившие обучаются, на базе ООО «Хлебороб» Системе менеджмента качества ГОСТ Р ИСО 9001-2015, инструментам бережливого производства, о также системе быстрого менеджмента - управление изменениями.</w:t>
      </w:r>
    </w:p>
    <w:p w14:paraId="6CEA4AC4" w14:textId="0E8645B6" w:rsidR="00AD2443" w:rsidRDefault="00AD244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3.2</w:t>
      </w:r>
      <w:r w:rsidRPr="00AD244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 Индекс промышленного производства.</w:t>
      </w:r>
    </w:p>
    <w:p w14:paraId="7CFAA93C" w14:textId="5F2216A5" w:rsidR="00AD2443" w:rsidRPr="00AD2443" w:rsidRDefault="00AD2443" w:rsidP="00AD2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244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округа </w:t>
      </w:r>
      <w:r w:rsidR="00FF2233">
        <w:rPr>
          <w:rFonts w:ascii="Times New Roman" w:eastAsia="Times New Roman" w:hAnsi="Times New Roman" w:cs="Times New Roman"/>
          <w:bCs/>
          <w:sz w:val="28"/>
          <w:szCs w:val="28"/>
        </w:rPr>
        <w:t xml:space="preserve">в 2019 году </w:t>
      </w:r>
      <w:r w:rsidRPr="00AD2443">
        <w:rPr>
          <w:rFonts w:ascii="Times New Roman" w:eastAsia="Times New Roman" w:hAnsi="Times New Roman" w:cs="Times New Roman"/>
          <w:bCs/>
          <w:sz w:val="28"/>
          <w:szCs w:val="28"/>
        </w:rPr>
        <w:t xml:space="preserve">112 хозяйствующих субъектов </w:t>
      </w:r>
      <w:r w:rsidR="00FF2233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осуществляли деятельность </w:t>
      </w:r>
      <w:r w:rsidRPr="00AD2443">
        <w:rPr>
          <w:rFonts w:ascii="Times New Roman" w:eastAsia="Times New Roman" w:hAnsi="Times New Roman" w:cs="Times New Roman"/>
          <w:bCs/>
          <w:sz w:val="28"/>
          <w:szCs w:val="28"/>
        </w:rPr>
        <w:t>в промышленном производстве. В основном это индивидуальные предприниматели и малые предприятия</w:t>
      </w:r>
      <w:r w:rsidR="00FF2233">
        <w:rPr>
          <w:rFonts w:ascii="Times New Roman" w:eastAsia="Times New Roman" w:hAnsi="Times New Roman" w:cs="Times New Roman"/>
          <w:bCs/>
          <w:sz w:val="28"/>
          <w:szCs w:val="28"/>
        </w:rPr>
        <w:t xml:space="preserve">, однако </w:t>
      </w:r>
      <w:r w:rsidRPr="00AD2443">
        <w:rPr>
          <w:rFonts w:ascii="Times New Roman" w:eastAsia="Times New Roman" w:hAnsi="Times New Roman" w:cs="Times New Roman"/>
          <w:bCs/>
          <w:sz w:val="28"/>
          <w:szCs w:val="28"/>
        </w:rPr>
        <w:t>наиболее значительный вклад в развитие экономики округа вносят такие обрабатывающие предприятия, как ОАО «</w:t>
      </w:r>
      <w:proofErr w:type="spellStart"/>
      <w:r w:rsidRPr="00AD2443">
        <w:rPr>
          <w:rFonts w:ascii="Times New Roman" w:eastAsia="Times New Roman" w:hAnsi="Times New Roman" w:cs="Times New Roman"/>
          <w:bCs/>
          <w:sz w:val="28"/>
          <w:szCs w:val="28"/>
        </w:rPr>
        <w:t>Светлоградагромаш</w:t>
      </w:r>
      <w:proofErr w:type="spellEnd"/>
      <w:r w:rsidRPr="00AD2443">
        <w:rPr>
          <w:rFonts w:ascii="Times New Roman" w:eastAsia="Times New Roman" w:hAnsi="Times New Roman" w:cs="Times New Roman"/>
          <w:bCs/>
          <w:sz w:val="28"/>
          <w:szCs w:val="28"/>
        </w:rPr>
        <w:t xml:space="preserve">», АО РТП «Петровское», ООО «ДСК ГРАС - Светлоград», ООО «НД-Техник», филиал «Светлоградский» ЗАО «Ставропольский бройлер», Группа компаний «Петровские Нивы», ИП Пащенко И.Н. </w:t>
      </w:r>
    </w:p>
    <w:p w14:paraId="74E6ADB6" w14:textId="77777777" w:rsidR="00554909" w:rsidRDefault="00FF2233" w:rsidP="00AD2443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FF2233">
        <w:rPr>
          <w:rFonts w:ascii="Times New Roman" w:eastAsia="Lucida Sans Unicode" w:hAnsi="Times New Roman" w:cs="Tahoma"/>
          <w:bCs/>
          <w:sz w:val="28"/>
          <w:szCs w:val="28"/>
        </w:rPr>
        <w:t xml:space="preserve">По статистическим данным </w:t>
      </w:r>
      <w:r>
        <w:rPr>
          <w:rFonts w:ascii="Times New Roman" w:eastAsia="Lucida Sans Unicode" w:hAnsi="Times New Roman" w:cs="Tahoma"/>
          <w:bCs/>
          <w:sz w:val="28"/>
          <w:szCs w:val="28"/>
        </w:rPr>
        <w:t xml:space="preserve">в отчетном году </w:t>
      </w:r>
      <w:r w:rsidRPr="00FF2233">
        <w:rPr>
          <w:rFonts w:ascii="Times New Roman" w:eastAsia="Lucida Sans Unicode" w:hAnsi="Times New Roman" w:cs="Tahoma"/>
          <w:bCs/>
          <w:sz w:val="28"/>
          <w:szCs w:val="28"/>
        </w:rPr>
        <w:t xml:space="preserve">крупными и средними промышленными предприятиями </w:t>
      </w:r>
      <w:r w:rsidRPr="00AD2443">
        <w:rPr>
          <w:rFonts w:ascii="Times New Roman" w:eastAsia="Lucida Sans Unicode" w:hAnsi="Times New Roman" w:cs="Tahoma"/>
          <w:sz w:val="28"/>
          <w:szCs w:val="28"/>
        </w:rPr>
        <w:t xml:space="preserve">до 6314,9 млн. рублей </w:t>
      </w:r>
      <w:r w:rsidRPr="00FF2233">
        <w:rPr>
          <w:rFonts w:ascii="Times New Roman" w:eastAsia="Lucida Sans Unicode" w:hAnsi="Times New Roman" w:cs="Tahoma"/>
          <w:bCs/>
          <w:sz w:val="28"/>
          <w:szCs w:val="28"/>
        </w:rPr>
        <w:t>увеличены</w:t>
      </w:r>
      <w:r w:rsidR="00AD2443" w:rsidRPr="00AD2443">
        <w:rPr>
          <w:rFonts w:ascii="Times New Roman" w:eastAsia="Lucida Sans Unicode" w:hAnsi="Times New Roman" w:cs="Tahoma"/>
          <w:sz w:val="28"/>
          <w:szCs w:val="28"/>
        </w:rPr>
        <w:t xml:space="preserve"> объем</w:t>
      </w:r>
      <w:r>
        <w:rPr>
          <w:rFonts w:ascii="Times New Roman" w:eastAsia="Lucida Sans Unicode" w:hAnsi="Times New Roman" w:cs="Tahoma"/>
          <w:sz w:val="28"/>
          <w:szCs w:val="28"/>
        </w:rPr>
        <w:t>ы</w:t>
      </w:r>
      <w:r w:rsidR="00AD2443" w:rsidRPr="00AD2443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AD2443">
        <w:rPr>
          <w:rFonts w:ascii="Times New Roman" w:eastAsia="Lucida Sans Unicode" w:hAnsi="Times New Roman" w:cs="Tahoma"/>
          <w:sz w:val="28"/>
          <w:szCs w:val="28"/>
        </w:rPr>
        <w:t>отгру</w:t>
      </w:r>
      <w:r>
        <w:rPr>
          <w:rFonts w:ascii="Times New Roman" w:eastAsia="Lucida Sans Unicode" w:hAnsi="Times New Roman" w:cs="Tahoma"/>
          <w:sz w:val="28"/>
          <w:szCs w:val="28"/>
        </w:rPr>
        <w:t>зки</w:t>
      </w:r>
      <w:r w:rsidR="00AD2443" w:rsidRPr="00AD2443">
        <w:rPr>
          <w:rFonts w:ascii="Times New Roman" w:eastAsia="Lucida Sans Unicode" w:hAnsi="Times New Roman" w:cs="Tahoma"/>
          <w:sz w:val="28"/>
          <w:szCs w:val="28"/>
        </w:rPr>
        <w:t xml:space="preserve"> товаров собственного производства </w:t>
      </w:r>
      <w:r>
        <w:rPr>
          <w:rFonts w:ascii="Times New Roman" w:eastAsia="Lucida Sans Unicode" w:hAnsi="Times New Roman" w:cs="Tahoma"/>
          <w:sz w:val="28"/>
          <w:szCs w:val="28"/>
        </w:rPr>
        <w:t>при темпе роста 1</w:t>
      </w:r>
      <w:r w:rsidR="00AD2443" w:rsidRPr="00AD2443">
        <w:rPr>
          <w:rFonts w:ascii="Times New Roman" w:eastAsia="Lucida Sans Unicode" w:hAnsi="Times New Roman" w:cs="Tahoma"/>
          <w:sz w:val="28"/>
          <w:szCs w:val="28"/>
        </w:rPr>
        <w:t xml:space="preserve">13,2% </w:t>
      </w:r>
      <w:r>
        <w:rPr>
          <w:rFonts w:ascii="Times New Roman" w:eastAsia="Lucida Sans Unicode" w:hAnsi="Times New Roman" w:cs="Tahoma"/>
          <w:sz w:val="28"/>
          <w:szCs w:val="28"/>
        </w:rPr>
        <w:t>к</w:t>
      </w:r>
      <w:r w:rsidR="00AD2443" w:rsidRPr="00AD2443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sz w:val="28"/>
          <w:szCs w:val="28"/>
        </w:rPr>
        <w:t>2018</w:t>
      </w:r>
      <w:r w:rsidR="00AD2443" w:rsidRPr="00AD2443">
        <w:rPr>
          <w:rFonts w:ascii="Times New Roman" w:eastAsia="Lucida Sans Unicode" w:hAnsi="Times New Roman" w:cs="Tahoma"/>
          <w:sz w:val="28"/>
          <w:szCs w:val="28"/>
        </w:rPr>
        <w:t xml:space="preserve"> году (в среднем по краю снижение на 2,7%). </w:t>
      </w:r>
    </w:p>
    <w:p w14:paraId="18E400AC" w14:textId="374F3666" w:rsidR="00AD2443" w:rsidRPr="00AD2443" w:rsidRDefault="00AD2443" w:rsidP="00AD2443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AD2443">
        <w:rPr>
          <w:rFonts w:ascii="Times New Roman" w:eastAsia="Lucida Sans Unicode" w:hAnsi="Times New Roman" w:cs="Tahoma"/>
          <w:sz w:val="28"/>
          <w:szCs w:val="28"/>
        </w:rPr>
        <w:t>На долю обрабатывающих производств в объеме отгруженных товаров собственного производства приходится 58,1% (по итогам 2018 года - 51,2%). Объем произведенной продукции обрабатывающих производств увеличился при темпе роста 128,6% в сравнении с 2018 годом и составляет 3672,1 млн. рублей.</w:t>
      </w:r>
    </w:p>
    <w:p w14:paraId="7DFA8100" w14:textId="77777777" w:rsidR="00AD2443" w:rsidRPr="00AD2443" w:rsidRDefault="00AD2443" w:rsidP="00AD2443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18"/>
          <w:szCs w:val="18"/>
        </w:rPr>
      </w:pPr>
    </w:p>
    <w:p w14:paraId="0E33D7E3" w14:textId="3D0702E1" w:rsidR="00AD2443" w:rsidRPr="00AD2443" w:rsidRDefault="00AD2443" w:rsidP="00AD2443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AD244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Динамика производства </w:t>
      </w:r>
    </w:p>
    <w:p w14:paraId="75EDCEBE" w14:textId="77777777" w:rsidR="00AD2443" w:rsidRPr="00AD2443" w:rsidRDefault="00AD2443" w:rsidP="00AD2443">
      <w:pPr>
        <w:widowControl w:val="0"/>
        <w:suppressAutoHyphens/>
        <w:spacing w:after="0" w:line="240" w:lineRule="exact"/>
        <w:jc w:val="center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AD244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важнейших видов промышленной продукции </w:t>
      </w:r>
    </w:p>
    <w:p w14:paraId="3F214077" w14:textId="77777777" w:rsidR="00AD2443" w:rsidRPr="00AD2443" w:rsidRDefault="00AD2443" w:rsidP="00AD244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240"/>
        <w:gridCol w:w="1986"/>
        <w:gridCol w:w="425"/>
      </w:tblGrid>
      <w:tr w:rsidR="00AD2443" w:rsidRPr="00AD2443" w14:paraId="53096403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9B2EF5E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  <w:p w14:paraId="6095D6B1" w14:textId="77777777" w:rsidR="00AD2443" w:rsidRPr="00AD2443" w:rsidRDefault="00AD2443" w:rsidP="00AD2443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F5A33B7" w14:textId="77777777" w:rsidR="00AD2443" w:rsidRPr="00AD2443" w:rsidRDefault="00AD2443" w:rsidP="00AD2443">
            <w:pPr>
              <w:keepNext/>
              <w:suppressAutoHyphens/>
              <w:snapToGri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D24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Наименование</w:t>
            </w:r>
          </w:p>
          <w:p w14:paraId="727EF780" w14:textId="77777777" w:rsidR="00AD2443" w:rsidRPr="00AD2443" w:rsidRDefault="00AD2443" w:rsidP="00AD2443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показателей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E9EBCE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темп роста к</w:t>
            </w:r>
          </w:p>
          <w:p w14:paraId="2807EC85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2018г., %</w:t>
            </w:r>
          </w:p>
        </w:tc>
      </w:tr>
      <w:tr w:rsidR="00AD2443" w:rsidRPr="00AD2443" w14:paraId="620A8F2C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A4E9BAF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B76530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AB1A965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CBC620D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595126FA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A236DF7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3E748C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мука из зерновых и зернобобовых культур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09F435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EA4475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70F52112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9512302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B8C390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макароны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3336239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54C08AA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45BDF8C5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7029C0A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28DFB6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хлеб и хлебобулочные изделия недлительного хранения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D1B05CF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88,6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BAB4FB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05A1E36C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FD7383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45292D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патока крахмальная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1499337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EA18617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4E99D9BC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E9E4927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692960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крахмалы модифицированные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64F0F0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184,5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57BEF59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2B46AD7B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F42E82B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1C8E2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крахмалы, кроме модифицированных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146B54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146,4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D665E92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7306177C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17A0220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0B0798A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корма готовые для сельскохозяйственных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14:paraId="1D337CE6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5B4B4E42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3876E81D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BBFE443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BA4ADB1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блоки стеновые силикатные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14:paraId="17A8207E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27F3364D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2443" w:rsidRPr="00AD2443" w14:paraId="1339BDA9" w14:textId="77777777" w:rsidTr="0042680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4B36698" w14:textId="77777777" w:rsidR="00AD2443" w:rsidRPr="00AD2443" w:rsidRDefault="00AD2443" w:rsidP="00AD2443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240" w:lineRule="exact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173A8B1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both"/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  <w:t>плуги общего назначения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14:paraId="3D1B4F1D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AD2443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5BB6E9F2" w14:textId="77777777" w:rsidR="00AD2443" w:rsidRPr="00AD2443" w:rsidRDefault="00AD2443" w:rsidP="00AD2443">
            <w:pPr>
              <w:widowControl w:val="0"/>
              <w:suppressAutoHyphens/>
              <w:snapToGrid w:val="0"/>
              <w:spacing w:after="0" w:line="240" w:lineRule="exact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292DC095" w14:textId="77777777" w:rsidR="00AD2443" w:rsidRPr="00AD2443" w:rsidRDefault="00AD2443" w:rsidP="009C31E6">
      <w:pPr>
        <w:spacing w:after="0" w:line="240" w:lineRule="auto"/>
        <w:jc w:val="both"/>
        <w:rPr>
          <w:rFonts w:ascii="Times New Roman" w:eastAsia="Lucida Sans Unicode" w:hAnsi="Times New Roman" w:cs="Tahoma"/>
          <w:sz w:val="20"/>
          <w:szCs w:val="20"/>
        </w:rPr>
      </w:pPr>
    </w:p>
    <w:p w14:paraId="2BC9C1DE" w14:textId="77777777" w:rsidR="00AD2443" w:rsidRPr="00AD2443" w:rsidRDefault="00AD2443" w:rsidP="00AD2443">
      <w:pPr>
        <w:tabs>
          <w:tab w:val="right" w:leader="dot" w:pos="93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</w:pPr>
      <w:r w:rsidRPr="00AD2443">
        <w:rPr>
          <w:rFonts w:ascii="Times New Roman" w:eastAsia="Times New Roman" w:hAnsi="Times New Roman" w:cs="Times New Roman"/>
          <w:sz w:val="28"/>
          <w:szCs w:val="28"/>
        </w:rPr>
        <w:t xml:space="preserve">Промышленные предприятия - активные </w:t>
      </w:r>
      <w:r w:rsidRPr="00AD2443">
        <w:rPr>
          <w:rFonts w:ascii="Times New Roman" w:eastAsia="Lucida Sans Unicode" w:hAnsi="Times New Roman" w:cs="Tahoma"/>
          <w:bCs/>
          <w:sz w:val="28"/>
          <w:szCs w:val="28"/>
        </w:rPr>
        <w:t xml:space="preserve">участники выставочных мероприятий. </w:t>
      </w:r>
      <w:r w:rsidRPr="00AD2443">
        <w:rPr>
          <w:rFonts w:ascii="Times New Roman" w:eastAsia="Times New Roman" w:hAnsi="Times New Roman" w:cs="Times New Roman"/>
          <w:bCs/>
          <w:sz w:val="28"/>
          <w:szCs w:val="24"/>
          <w:lang w:eastAsia="en-US"/>
        </w:rPr>
        <w:t>Компания «Петровские Нивы», индивидуальный предприниматель Пащенко Ирина Николаевна, ООО «НД - Техник» представляли свою продукцию на Международной выставке продуктов питания «ПРОДЭКСПО». По результатам дегустационного конкурса «Лучший продукт - 2019» продукция «Петровских Нив» и Пащенко Ирины Николаевны отмечена медалями и дипломами. ООО «НД-техник» присуждена награда в номинации «Достижение в импортозамещении».</w:t>
      </w:r>
    </w:p>
    <w:p w14:paraId="502D03A0" w14:textId="188AF132" w:rsidR="00AD2443" w:rsidRPr="009C31E6" w:rsidRDefault="00AD2443" w:rsidP="009C31E6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AD2443">
        <w:rPr>
          <w:rFonts w:ascii="Times New Roman" w:eastAsia="Lucida Sans Unicode" w:hAnsi="Times New Roman" w:cs="Tahoma"/>
          <w:sz w:val="28"/>
          <w:szCs w:val="28"/>
        </w:rPr>
        <w:t>Качество продукции, производимой предпринимателем Пащенко, было отмечено серебряными и бронзовыми медалями, дипломами на международной выставке продовольственных товаров и сельского хозяйства «Зеленая неделя – 2019», проходившей в Берлине.</w:t>
      </w:r>
    </w:p>
    <w:p w14:paraId="0E620931" w14:textId="1A87F5B8" w:rsidR="00C176EA" w:rsidRPr="000477A6" w:rsidRDefault="00C176E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3.3. Индекс производства продукции сельского хозяйства</w:t>
      </w:r>
      <w:r w:rsidR="006D7A36"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14:paraId="38C34949" w14:textId="69AD3BAD" w:rsidR="00F43D6D" w:rsidRPr="00F43D6D" w:rsidRDefault="00F43D6D" w:rsidP="00F43D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D6D">
        <w:rPr>
          <w:rFonts w:ascii="Times New Roman" w:eastAsia="Calibri" w:hAnsi="Times New Roman" w:cs="Times New Roman"/>
          <w:sz w:val="28"/>
          <w:szCs w:val="28"/>
        </w:rPr>
        <w:t xml:space="preserve">В 2019 году производством сельскохозяйственной продукции занимались 24 сельскохозяйственных предприятия, 208 крестьянских (фермерских) хозяйств и около 12,0 тыс. личных подсобных хозяйств граждан. </w:t>
      </w:r>
      <w:r w:rsidR="004D4CCB">
        <w:rPr>
          <w:rFonts w:ascii="Times New Roman" w:eastAsia="Calibri" w:hAnsi="Times New Roman" w:cs="Times New Roman"/>
          <w:sz w:val="28"/>
          <w:szCs w:val="28"/>
        </w:rPr>
        <w:t xml:space="preserve">По оценке объем валовой продукции сельского хозяйства за 2019 год составил 8136,91 млн. рублей, индекс производства продукции сельского хозяйства по итогам 2019 года составил 104,8% </w:t>
      </w:r>
      <w:r w:rsidR="00AD2443">
        <w:rPr>
          <w:rFonts w:ascii="Times New Roman" w:eastAsia="Calibri" w:hAnsi="Times New Roman" w:cs="Times New Roman"/>
          <w:sz w:val="28"/>
          <w:szCs w:val="28"/>
        </w:rPr>
        <w:t>(</w:t>
      </w:r>
      <w:r w:rsidR="004D4CCB">
        <w:rPr>
          <w:rFonts w:ascii="Times New Roman" w:eastAsia="Calibri" w:hAnsi="Times New Roman" w:cs="Times New Roman"/>
          <w:sz w:val="28"/>
          <w:szCs w:val="28"/>
        </w:rPr>
        <w:t>в сопоставимых ценах)</w:t>
      </w:r>
      <w:r w:rsidR="00AD244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594097" w14:textId="10B12151" w:rsidR="00F43D6D" w:rsidRPr="00F43D6D" w:rsidRDefault="00F43D6D" w:rsidP="00F43D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sz w:val="28"/>
          <w:szCs w:val="28"/>
        </w:rPr>
        <w:t xml:space="preserve">Растениеводство является основной отраслью сельского хозяйства округа, в </w:t>
      </w:r>
      <w:r>
        <w:rPr>
          <w:rFonts w:ascii="Times New Roman" w:eastAsia="Times New Roman" w:hAnsi="Times New Roman" w:cs="Times New Roman"/>
          <w:sz w:val="28"/>
          <w:szCs w:val="28"/>
        </w:rPr>
        <w:t>отчетном</w:t>
      </w:r>
      <w:r w:rsidRPr="00F43D6D">
        <w:rPr>
          <w:rFonts w:ascii="Times New Roman" w:eastAsia="Times New Roman" w:hAnsi="Times New Roman" w:cs="Times New Roman"/>
          <w:sz w:val="28"/>
          <w:szCs w:val="28"/>
        </w:rPr>
        <w:t xml:space="preserve"> году была продолжена работа по совершенствованию структуры посевных площадей, возделыванию высоколиквидных и наиболее прибыльных культур, внедрению современных технологий возделывания, сортов и гибридов, что позволило увеличить долю площади, засеваемой элитными семенами, до 9,0%.</w:t>
      </w:r>
    </w:p>
    <w:p w14:paraId="310FA1BF" w14:textId="1B755081" w:rsidR="00F43D6D" w:rsidRPr="00F43D6D" w:rsidRDefault="00F43D6D" w:rsidP="00F43D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sz w:val="28"/>
          <w:szCs w:val="28"/>
        </w:rPr>
        <w:t xml:space="preserve">Хозяйствами всех форм собственности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было </w:t>
      </w:r>
      <w:r w:rsidRPr="00F43D6D">
        <w:rPr>
          <w:rFonts w:ascii="Times New Roman" w:eastAsia="Times New Roman" w:hAnsi="Times New Roman" w:cs="Times New Roman"/>
          <w:sz w:val="28"/>
          <w:szCs w:val="28"/>
        </w:rPr>
        <w:t>собрано (</w:t>
      </w:r>
      <w:r w:rsidRPr="00F43D6D">
        <w:rPr>
          <w:rFonts w:ascii="Times New Roman" w:eastAsia="Calibri" w:hAnsi="Times New Roman" w:cs="Times New Roman"/>
          <w:sz w:val="28"/>
          <w:szCs w:val="28"/>
        </w:rPr>
        <w:t>в первоначально оприходованном весе):</w:t>
      </w:r>
    </w:p>
    <w:p w14:paraId="3FBCDB67" w14:textId="77777777" w:rsidR="00F43D6D" w:rsidRPr="00F43D6D" w:rsidRDefault="00F43D6D" w:rsidP="00F43D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D6D">
        <w:rPr>
          <w:rFonts w:ascii="Times New Roman" w:eastAsia="Calibri" w:hAnsi="Times New Roman" w:cs="Times New Roman"/>
          <w:sz w:val="28"/>
          <w:szCs w:val="28"/>
        </w:rPr>
        <w:t xml:space="preserve">- зерновых и зернобобовых культур (включая кукурузу на зерно) 404,8 тыс. тонн при средней урожайности 32,1 </w:t>
      </w:r>
      <w:r w:rsidRPr="00F43D6D">
        <w:rPr>
          <w:rFonts w:ascii="Times New Roman" w:eastAsia="Times New Roman" w:hAnsi="Times New Roman" w:cs="Times New Roman"/>
          <w:sz w:val="28"/>
          <w:szCs w:val="28"/>
        </w:rPr>
        <w:t>ц/га</w:t>
      </w:r>
      <w:r w:rsidRPr="00F43D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39CF0A" w14:textId="77777777" w:rsidR="00F43D6D" w:rsidRPr="00F43D6D" w:rsidRDefault="00F43D6D" w:rsidP="00F43D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D6D">
        <w:rPr>
          <w:rFonts w:ascii="Times New Roman" w:eastAsia="Calibri" w:hAnsi="Times New Roman" w:cs="Times New Roman"/>
          <w:sz w:val="28"/>
          <w:szCs w:val="28"/>
        </w:rPr>
        <w:t xml:space="preserve">- масличных культур 44,1 тыс. тонн при урожайности 13,8 </w:t>
      </w:r>
      <w:r w:rsidRPr="00F43D6D">
        <w:rPr>
          <w:rFonts w:ascii="Times New Roman" w:eastAsia="Times New Roman" w:hAnsi="Times New Roman" w:cs="Times New Roman"/>
          <w:sz w:val="28"/>
          <w:szCs w:val="28"/>
        </w:rPr>
        <w:t>ц/га</w:t>
      </w:r>
      <w:r w:rsidRPr="00F43D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3C89D8F" w14:textId="64F06143" w:rsidR="00F43D6D" w:rsidRPr="00F43D6D" w:rsidRDefault="00AC2572" w:rsidP="00F43D6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F43D6D" w:rsidRPr="00F43D6D">
        <w:rPr>
          <w:rFonts w:ascii="Times New Roman" w:eastAsia="Times New Roman" w:hAnsi="Times New Roman" w:cs="Times New Roman"/>
          <w:sz w:val="28"/>
          <w:szCs w:val="28"/>
        </w:rPr>
        <w:t xml:space="preserve"> традиционно входит в тройку лидеров по валовому сбору винограда в крае, наиболее значительный вклад в развитие виноградарства вносят крестьянские (фермерские) хозяйства. В отчетном году в округе собрано 7,8 тыс. тонн винограда при средней урожайности 117,0 ц/га.</w:t>
      </w:r>
    </w:p>
    <w:p w14:paraId="42513225" w14:textId="77777777" w:rsidR="00F43D6D" w:rsidRPr="00F43D6D" w:rsidRDefault="00F43D6D" w:rsidP="00F43D6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sz w:val="28"/>
          <w:szCs w:val="28"/>
        </w:rPr>
        <w:t xml:space="preserve">Идет планомерное развитие садоводства. В 2019 году в 25 личных (подсобных) хозяйствах граждан в селах Благодатное, Гофицкое, Ореховка, Сухая Буйвола, Николина Балка, </w:t>
      </w:r>
      <w:proofErr w:type="spellStart"/>
      <w:r w:rsidRPr="00F43D6D">
        <w:rPr>
          <w:rFonts w:ascii="Times New Roman" w:eastAsia="Times New Roman" w:hAnsi="Times New Roman" w:cs="Times New Roman"/>
          <w:sz w:val="28"/>
          <w:szCs w:val="28"/>
        </w:rPr>
        <w:t>Шведино</w:t>
      </w:r>
      <w:proofErr w:type="spellEnd"/>
      <w:r w:rsidRPr="00F43D6D">
        <w:rPr>
          <w:rFonts w:ascii="Times New Roman" w:eastAsia="Times New Roman" w:hAnsi="Times New Roman" w:cs="Times New Roman"/>
          <w:sz w:val="28"/>
          <w:szCs w:val="28"/>
        </w:rPr>
        <w:t xml:space="preserve"> заложены сады </w:t>
      </w:r>
      <w:proofErr w:type="spellStart"/>
      <w:r w:rsidRPr="00F43D6D">
        <w:rPr>
          <w:rFonts w:ascii="Times New Roman" w:eastAsia="Times New Roman" w:hAnsi="Times New Roman" w:cs="Times New Roman"/>
          <w:sz w:val="28"/>
          <w:szCs w:val="28"/>
        </w:rPr>
        <w:t>суперинтенсивного</w:t>
      </w:r>
      <w:proofErr w:type="spellEnd"/>
      <w:r w:rsidRPr="00F43D6D">
        <w:rPr>
          <w:rFonts w:ascii="Times New Roman" w:eastAsia="Times New Roman" w:hAnsi="Times New Roman" w:cs="Times New Roman"/>
          <w:sz w:val="28"/>
          <w:szCs w:val="28"/>
        </w:rPr>
        <w:t xml:space="preserve"> типа. </w:t>
      </w:r>
    </w:p>
    <w:p w14:paraId="3FFD7BF3" w14:textId="77777777" w:rsidR="00F43D6D" w:rsidRPr="00F43D6D" w:rsidRDefault="00F43D6D" w:rsidP="00F43D6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949698"/>
      <w:r w:rsidRPr="00F43D6D">
        <w:rPr>
          <w:rFonts w:ascii="Times New Roman" w:eastAsia="Calibri" w:hAnsi="Times New Roman" w:cs="Times New Roman"/>
          <w:sz w:val="28"/>
          <w:szCs w:val="28"/>
        </w:rPr>
        <w:t>В хозяйствах всех категорий произведено 28,9 тысячи тонн мяса, надоено 29,4 тысячи тонн молока, реализовано 29,4 тонн рыбы.</w:t>
      </w:r>
    </w:p>
    <w:bookmarkEnd w:id="2"/>
    <w:p w14:paraId="0FD75D65" w14:textId="103579E9" w:rsidR="00F43D6D" w:rsidRDefault="00F43D6D" w:rsidP="00F43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государственной программы Ставропольского края «Развитие сельского хозяйства» в целях создания и развития на сельских территориях края сельскохозяйственной потребительской кооперации и новых </w:t>
      </w:r>
      <w:r w:rsidRPr="00F43D6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постоянных рабочих мест в сельской местности была оказана грантовая поддержка молокоперерабатывающему сельскохозяйственному потребительскому кооперативу «Победа» в сумме 39,0 млн. рублей на развитие материально технической базы кооператива.</w:t>
      </w:r>
    </w:p>
    <w:p w14:paraId="5E36EB88" w14:textId="77777777" w:rsidR="00C176EA" w:rsidRPr="000477A6" w:rsidRDefault="00C176E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3.4. </w:t>
      </w:r>
      <w:bookmarkStart w:id="3" w:name="_Hlk17970672"/>
      <w:r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Средняя оценка качества финансового менеджмента, осуществляемого главными распорядителями средств бюджета городского округа</w:t>
      </w:r>
      <w:bookmarkEnd w:id="3"/>
      <w:r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14:paraId="65634E08" w14:textId="5808FD39" w:rsidR="00187189" w:rsidRDefault="00187189" w:rsidP="00187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89">
        <w:rPr>
          <w:rFonts w:ascii="Times New Roman" w:hAnsi="Times New Roman" w:cs="Times New Roman"/>
          <w:sz w:val="28"/>
          <w:szCs w:val="28"/>
        </w:rPr>
        <w:t>Средняя оценка качества финансового менеджмента, осуществляемого главными распорядителями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 округа по итогам 2018 года, </w:t>
      </w:r>
      <w:r w:rsidRPr="00187189">
        <w:rPr>
          <w:rFonts w:ascii="Times New Roman" w:hAnsi="Times New Roman" w:cs="Times New Roman"/>
          <w:sz w:val="28"/>
          <w:szCs w:val="28"/>
        </w:rPr>
        <w:t>составила 4,7 балла, что выше планового уровня на 0,62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7189">
        <w:rPr>
          <w:rFonts w:ascii="Times New Roman" w:hAnsi="Times New Roman" w:cs="Times New Roman"/>
          <w:sz w:val="28"/>
          <w:szCs w:val="28"/>
        </w:rPr>
        <w:t xml:space="preserve"> и на 0,19 балла выше по</w:t>
      </w:r>
      <w:r>
        <w:rPr>
          <w:rFonts w:ascii="Times New Roman" w:hAnsi="Times New Roman" w:cs="Times New Roman"/>
          <w:sz w:val="28"/>
          <w:szCs w:val="28"/>
        </w:rPr>
        <w:t>казателя за 2017 год</w:t>
      </w:r>
      <w:r w:rsidRPr="00187189">
        <w:rPr>
          <w:rFonts w:ascii="Times New Roman" w:hAnsi="Times New Roman" w:cs="Times New Roman"/>
          <w:sz w:val="28"/>
          <w:szCs w:val="28"/>
        </w:rPr>
        <w:t>.</w:t>
      </w:r>
    </w:p>
    <w:p w14:paraId="42598897" w14:textId="2553D0ED" w:rsidR="00C176EA" w:rsidRPr="000477A6" w:rsidRDefault="00C176EA" w:rsidP="00187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3.5. Доля населения, использующего механизм получения государственных и муниципальных услуг в электронной форме</w:t>
      </w:r>
      <w:r w:rsidR="009C31E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14:paraId="243D7E08" w14:textId="74D0407F" w:rsidR="00187189" w:rsidRDefault="00187189" w:rsidP="002939D7">
      <w:pPr>
        <w:pStyle w:val="ConsPlusNormal"/>
        <w:ind w:firstLine="64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А</w:t>
      </w:r>
      <w:r w:rsidRPr="00187189">
        <w:rPr>
          <w:rFonts w:ascii="Times New Roman" w:eastAsia="Times New Roman" w:hAnsi="Times New Roman" w:cs="Times New Roman"/>
          <w:bCs/>
        </w:rPr>
        <w:t>дминистраци</w:t>
      </w:r>
      <w:r w:rsidR="00924BE3">
        <w:rPr>
          <w:rFonts w:ascii="Times New Roman" w:eastAsia="Times New Roman" w:hAnsi="Times New Roman" w:cs="Times New Roman"/>
          <w:bCs/>
        </w:rPr>
        <w:t>ей</w:t>
      </w:r>
      <w:r w:rsidRPr="00187189">
        <w:rPr>
          <w:rFonts w:ascii="Times New Roman" w:eastAsia="Times New Roman" w:hAnsi="Times New Roman" w:cs="Times New Roman"/>
          <w:bCs/>
        </w:rPr>
        <w:t xml:space="preserve"> утверждено 45 административных регламентов по предоставлению муниципальных услуг, сведения о которых внесены в Реестр государственных услуг (функций). По мере присвоения </w:t>
      </w:r>
      <w:r w:rsidR="00957397">
        <w:rPr>
          <w:rFonts w:ascii="Times New Roman" w:eastAsia="Times New Roman" w:hAnsi="Times New Roman" w:cs="Times New Roman"/>
          <w:bCs/>
        </w:rPr>
        <w:t xml:space="preserve">регламентам </w:t>
      </w:r>
      <w:r w:rsidRPr="00187189">
        <w:rPr>
          <w:rFonts w:ascii="Times New Roman" w:eastAsia="Times New Roman" w:hAnsi="Times New Roman" w:cs="Times New Roman"/>
          <w:bCs/>
        </w:rPr>
        <w:t>министерством экономического развития Ставропольского края статуса «Опубликован» в Реестр государственных услуг (функций), сведения об услугах становятся доступны гражданам на Едином портале государственных и муниципальных услуг (функций).</w:t>
      </w:r>
      <w:r w:rsidR="002939D7">
        <w:rPr>
          <w:rFonts w:ascii="Times New Roman" w:eastAsia="Times New Roman" w:hAnsi="Times New Roman" w:cs="Times New Roman"/>
          <w:bCs/>
        </w:rPr>
        <w:t xml:space="preserve"> </w:t>
      </w:r>
    </w:p>
    <w:p w14:paraId="3C67A73A" w14:textId="1BAEC655" w:rsidR="000F079B" w:rsidRPr="000F079B" w:rsidRDefault="000F079B" w:rsidP="000F079B">
      <w:pPr>
        <w:widowControl w:val="0"/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F07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 рекомендуемым типовым перечнем муниципальных услуг, утвержденным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</w:t>
      </w:r>
      <w:r w:rsidR="00924BE3" w:rsidRPr="009573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F07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отчетном периоде в план-график перехода на предоставление в электронной форме муниципальных услуг, предоставляемых (осуществляемых) отделами и органами администрации, а также услуг, предоставляемых муниципальными учреждениями округа, утвержденный распоряжением администрации Петровского городского округа Ставропольского края от 04 мая 2018 года № 237-р</w:t>
      </w:r>
      <w:r w:rsidR="00957397" w:rsidRPr="009573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в июне 2019 года</w:t>
      </w:r>
      <w:r w:rsidRPr="000F07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7397" w:rsidRPr="009573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были внесены изменения </w:t>
      </w:r>
      <w:r w:rsidRPr="000F079B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F079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26 июня 2019 г. № 323-р).</w:t>
      </w:r>
    </w:p>
    <w:p w14:paraId="5FF54B18" w14:textId="1AFB6F71" w:rsidR="00187189" w:rsidRDefault="000F079B" w:rsidP="000F079B">
      <w:pPr>
        <w:pStyle w:val="ConsPlusNormal"/>
        <w:ind w:firstLine="647"/>
        <w:jc w:val="both"/>
        <w:rPr>
          <w:rFonts w:ascii="Times New Roman" w:eastAsia="Times New Roman" w:hAnsi="Times New Roman" w:cs="Times New Roman"/>
          <w:bCs/>
        </w:rPr>
      </w:pPr>
      <w:r w:rsidRPr="00957397">
        <w:rPr>
          <w:rFonts w:ascii="Times New Roman" w:eastAsia="Times New Roman" w:hAnsi="Times New Roman" w:cs="Times New Roman"/>
          <w:lang w:eastAsia="ru-RU"/>
        </w:rPr>
        <w:t>В 2019 году в электронный вид переведено ещё 17 муниципальных услуг</w:t>
      </w:r>
      <w:r w:rsidR="00957397" w:rsidRPr="00957397">
        <w:rPr>
          <w:rFonts w:ascii="Times New Roman" w:eastAsia="Times New Roman" w:hAnsi="Times New Roman" w:cs="Times New Roman"/>
          <w:lang w:eastAsia="ru-RU"/>
        </w:rPr>
        <w:t>, в результате д</w:t>
      </w:r>
      <w:r w:rsidR="002939D7" w:rsidRPr="00957397">
        <w:rPr>
          <w:rFonts w:ascii="Times New Roman" w:eastAsia="Times New Roman" w:hAnsi="Times New Roman" w:cs="Times New Roman"/>
          <w:bCs/>
        </w:rPr>
        <w:t>оля муниципальных услуг, предоставляемых отделами и органами администрации, а также услуг</w:t>
      </w:r>
      <w:r w:rsidR="002939D7" w:rsidRPr="002939D7">
        <w:rPr>
          <w:rFonts w:ascii="Times New Roman" w:eastAsia="Times New Roman" w:hAnsi="Times New Roman" w:cs="Times New Roman"/>
          <w:bCs/>
        </w:rPr>
        <w:t>, предоставляемых муниципальными учреждениями, в электронном виде, от общего количества услуг, включенных в план-график перехода на предоставление в электронной форме муниципальных усл</w:t>
      </w:r>
      <w:r>
        <w:rPr>
          <w:rFonts w:ascii="Times New Roman" w:eastAsia="Times New Roman" w:hAnsi="Times New Roman" w:cs="Times New Roman"/>
          <w:bCs/>
        </w:rPr>
        <w:t>у</w:t>
      </w:r>
      <w:r w:rsidR="002939D7" w:rsidRPr="002939D7">
        <w:rPr>
          <w:rFonts w:ascii="Times New Roman" w:eastAsia="Times New Roman" w:hAnsi="Times New Roman" w:cs="Times New Roman"/>
          <w:bCs/>
        </w:rPr>
        <w:t>г</w:t>
      </w:r>
      <w:r>
        <w:rPr>
          <w:rFonts w:ascii="Times New Roman" w:eastAsia="Times New Roman" w:hAnsi="Times New Roman" w:cs="Times New Roman"/>
          <w:bCs/>
        </w:rPr>
        <w:t>,</w:t>
      </w:r>
      <w:r w:rsidR="002939D7" w:rsidRPr="002939D7">
        <w:rPr>
          <w:rFonts w:ascii="Times New Roman" w:eastAsia="Times New Roman" w:hAnsi="Times New Roman" w:cs="Times New Roman"/>
          <w:bCs/>
        </w:rPr>
        <w:t xml:space="preserve"> составила 28%.</w:t>
      </w:r>
    </w:p>
    <w:p w14:paraId="1BDEA10F" w14:textId="6C52FFF8" w:rsidR="001B528F" w:rsidRPr="001B528F" w:rsidRDefault="001B528F" w:rsidP="001B528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За анализируемый период на базе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МКУ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 в Петровском районе Ставропольского края» </w:t>
      </w:r>
      <w:r>
        <w:rPr>
          <w:rFonts w:ascii="Times New Roman" w:eastAsia="Times New Roman" w:hAnsi="Times New Roman" w:cs="Times New Roman"/>
          <w:sz w:val="28"/>
          <w:szCs w:val="28"/>
        </w:rPr>
        <w:t>(дале</w:t>
      </w:r>
      <w:r w:rsidR="00AC2572">
        <w:rPr>
          <w:rFonts w:ascii="Times New Roman" w:eastAsia="Times New Roman" w:hAnsi="Times New Roman" w:cs="Times New Roman"/>
          <w:sz w:val="28"/>
          <w:szCs w:val="28"/>
        </w:rPr>
        <w:t xml:space="preserve">е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МФЦ)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осуществлялся прием граждан по 233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государственным и муниципальным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услугам, </w:t>
      </w:r>
      <w:r>
        <w:rPr>
          <w:rFonts w:ascii="Times New Roman" w:eastAsia="Times New Roman" w:hAnsi="Times New Roman" w:cs="Times New Roman"/>
          <w:sz w:val="28"/>
          <w:szCs w:val="28"/>
        </w:rPr>
        <w:t>среди которых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 52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федеральных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, 27 региональных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, 45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услуг для бизнеса, 94 муниципальных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, 15  иных услуг.</w:t>
      </w:r>
    </w:p>
    <w:p w14:paraId="46D576AB" w14:textId="3B6D34C3" w:rsidR="001B528F" w:rsidRPr="001B528F" w:rsidRDefault="001B528F" w:rsidP="001B528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28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2019 году</w:t>
      </w:r>
      <w:r w:rsidR="00FC52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в МФЦ 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 xml:space="preserve">за оказанием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обратилось 102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178 заявителей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365D22" w14:textId="00CA2781" w:rsidR="001B528F" w:rsidRPr="001B528F" w:rsidRDefault="00FC528B" w:rsidP="001B528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>центральный офис обратилось 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>926 заявител</w:t>
      </w:r>
      <w:r>
        <w:rPr>
          <w:rFonts w:ascii="Times New Roman" w:eastAsia="Times New Roman" w:hAnsi="Times New Roman" w:cs="Times New Roman"/>
          <w:sz w:val="28"/>
          <w:szCs w:val="28"/>
        </w:rPr>
        <w:t>ей,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получили результат услуги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bCs/>
          <w:sz w:val="28"/>
          <w:szCs w:val="28"/>
        </w:rPr>
        <w:t>015 заявителей</w:t>
      </w:r>
      <w:r w:rsidR="00AC2572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E51E938" w14:textId="47A2A9D2" w:rsidR="001B528F" w:rsidRPr="001B528F" w:rsidRDefault="00AC2572" w:rsidP="00FC528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территориально-обособленные структурные подразделени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>я сельских населённых пунктов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 xml:space="preserve"> обратилось 35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>252 заявител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 xml:space="preserve"> за оказанием услуг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B528F" w:rsidRPr="001B528F">
        <w:rPr>
          <w:rFonts w:ascii="Times New Roman" w:eastAsia="Times New Roman" w:hAnsi="Times New Roman" w:cs="Times New Roman"/>
          <w:sz w:val="28"/>
          <w:szCs w:val="28"/>
        </w:rPr>
        <w:t>получили результат услуги –</w:t>
      </w:r>
      <w:r w:rsidR="001B528F" w:rsidRPr="001B528F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FC528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528F" w:rsidRPr="001B528F">
        <w:rPr>
          <w:rFonts w:ascii="Times New Roman" w:eastAsia="Times New Roman" w:hAnsi="Times New Roman" w:cs="Times New Roman"/>
          <w:bCs/>
          <w:sz w:val="28"/>
          <w:szCs w:val="28"/>
        </w:rPr>
        <w:t>797 заявителей</w:t>
      </w:r>
      <w:r w:rsidR="00FC528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3AF6C68" w14:textId="1F2735FD" w:rsidR="001B528F" w:rsidRPr="00FC528B" w:rsidRDefault="001B528F" w:rsidP="00FC528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28F">
        <w:rPr>
          <w:rFonts w:ascii="Times New Roman" w:eastAsia="Times New Roman" w:hAnsi="Times New Roman" w:cs="Times New Roman"/>
          <w:bCs/>
          <w:sz w:val="28"/>
          <w:szCs w:val="28"/>
        </w:rPr>
        <w:t>В 2019 году 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>в МФЦ было направлено 109</w:t>
      </w:r>
      <w:r w:rsidR="00FC5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28F">
        <w:rPr>
          <w:rFonts w:ascii="Times New Roman" w:eastAsia="Times New Roman" w:hAnsi="Times New Roman" w:cs="Times New Roman"/>
          <w:sz w:val="28"/>
          <w:szCs w:val="28"/>
        </w:rPr>
        <w:t xml:space="preserve">900 запросов по системе межведомственного электронного взаимодействия </w:t>
      </w:r>
    </w:p>
    <w:p w14:paraId="631D2B30" w14:textId="5D0673E4" w:rsidR="00957397" w:rsidRPr="00FC528B" w:rsidRDefault="00957397" w:rsidP="009573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528B">
        <w:rPr>
          <w:rFonts w:ascii="Times New Roman" w:eastAsia="Times New Roman" w:hAnsi="Times New Roman" w:cs="Times New Roman"/>
          <w:bCs/>
          <w:sz w:val="28"/>
          <w:szCs w:val="28"/>
        </w:rPr>
        <w:t>Доля населения, использующего механизм получения государственных и муниципальных услуг в электронной форме, по итогам 2019 года составляет 90%.</w:t>
      </w:r>
    </w:p>
    <w:p w14:paraId="61CCBB83" w14:textId="77777777" w:rsidR="00437AAD" w:rsidRPr="00354135" w:rsidRDefault="00C176E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5413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3.6. Количество социально ориентированных некоммерческих организаций и ТОС округа, участвующих в решении вопросов местного значения</w:t>
      </w:r>
    </w:p>
    <w:p w14:paraId="06427286" w14:textId="5AF7EB5F" w:rsidR="000E71CE" w:rsidRPr="000477A6" w:rsidRDefault="000E71CE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A6BA1">
        <w:rPr>
          <w:rFonts w:ascii="Times New Roman" w:eastAsia="Times New Roman" w:hAnsi="Times New Roman" w:cs="Times New Roman"/>
          <w:sz w:val="28"/>
          <w:szCs w:val="28"/>
        </w:rPr>
        <w:t xml:space="preserve">2019 году </w:t>
      </w:r>
      <w:r w:rsidR="00AC2572">
        <w:rPr>
          <w:rFonts w:ascii="Times New Roman" w:eastAsia="Times New Roman" w:hAnsi="Times New Roman" w:cs="Times New Roman"/>
          <w:sz w:val="28"/>
          <w:szCs w:val="28"/>
        </w:rPr>
        <w:t>в округе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осуществляли деятельность </w:t>
      </w:r>
      <w:r w:rsidR="0057036B" w:rsidRPr="000477A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организаций. </w:t>
      </w:r>
      <w:r w:rsidR="006A6BA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аибольшую активность в решении вопросов социального развития округа проявляет </w:t>
      </w:r>
      <w:r w:rsidR="001F6E6C" w:rsidRPr="000477A6">
        <w:rPr>
          <w:rFonts w:ascii="Times New Roman" w:eastAsia="Times New Roman" w:hAnsi="Times New Roman" w:cs="Times New Roman"/>
          <w:sz w:val="28"/>
          <w:szCs w:val="28"/>
        </w:rPr>
        <w:t>Петровское районное отделение Ставропольской краевой общественной организации ветеранов (пенсионеров) войны, труда, Вооруженных Сил и правоохранительных органов г. Светлограда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6E6C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E3041AB" w14:textId="4D1F84DD" w:rsidR="000E71CE" w:rsidRDefault="000E71CE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40BF4" w:rsidRPr="000477A6">
        <w:rPr>
          <w:rFonts w:ascii="Times New Roman" w:eastAsia="Times New Roman" w:hAnsi="Times New Roman" w:cs="Times New Roman"/>
          <w:sz w:val="28"/>
          <w:szCs w:val="28"/>
        </w:rPr>
        <w:t xml:space="preserve"> конце 2017 года в муниципальных образованиях сельских поселений было сформировано 33 органа территориального общественного самоуправления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0BF4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135" w:rsidRPr="000477A6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354135" w:rsidRPr="000477A6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и осуществления территориального общественного самоуправления на территории округа 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утвержден р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ешение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Петровского городского округа Ставропольского края «Об утверждении</w:t>
      </w:r>
      <w:r w:rsidR="00340BF4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40BF4" w:rsidRPr="000477A6">
        <w:rPr>
          <w:rFonts w:ascii="Times New Roman" w:eastAsia="Times New Roman" w:hAnsi="Times New Roman" w:cs="Times New Roman"/>
          <w:sz w:val="28"/>
          <w:szCs w:val="28"/>
        </w:rPr>
        <w:t>08 августа 2019 года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 xml:space="preserve"> № 52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38F3EB" w14:textId="77777777" w:rsidR="00354135" w:rsidRPr="000477A6" w:rsidRDefault="00354135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53FF6E" w14:textId="77777777" w:rsidR="00B42C15" w:rsidRPr="000477A6" w:rsidRDefault="000E71CE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Сведения о достигнутых значениях </w:t>
      </w:r>
      <w:bookmarkStart w:id="4" w:name="_Hlk19801893"/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показателей достижения целей социально-экономического развития Петровского городского округа Ставропольского края </w:t>
      </w:r>
      <w:bookmarkEnd w:id="4"/>
      <w:r w:rsidRPr="000477A6">
        <w:rPr>
          <w:rFonts w:ascii="Times New Roman" w:eastAsia="Times New Roman" w:hAnsi="Times New Roman" w:cs="Times New Roman"/>
          <w:sz w:val="28"/>
          <w:szCs w:val="28"/>
        </w:rPr>
        <w:t>приведены в приложении 1 к Сводному отчету</w:t>
      </w:r>
      <w:r w:rsidR="005E6C2A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о реализации стратегии социально-экономического развития Петровского городского округа Ставропольского края до 2035 года и о ходе исполнения плана мероприятий по реализации стратегии социально-экономического развития Петровского городского округа Ставропольского края до 2035 года.</w:t>
      </w:r>
    </w:p>
    <w:p w14:paraId="1D7B15A6" w14:textId="77777777" w:rsidR="00071E81" w:rsidRPr="000477A6" w:rsidRDefault="00071E81" w:rsidP="00047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FA505B" w14:textId="122C2241" w:rsidR="00D53920" w:rsidRPr="000477A6" w:rsidRDefault="00D53920" w:rsidP="0035413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2. Результаты реализации плана мероприятий по реализации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 xml:space="preserve"> стратегии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развития Петровского городского округа Ставропольского края за 201</w:t>
      </w:r>
      <w:r w:rsidR="001819A9" w:rsidRPr="000477A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14:paraId="3EE97EBD" w14:textId="77777777" w:rsidR="00D53920" w:rsidRPr="000477A6" w:rsidRDefault="00D53920" w:rsidP="00047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AFDDAC" w14:textId="77777777" w:rsidR="00D205B8" w:rsidRPr="000477A6" w:rsidRDefault="00071E81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Достижение запланированных значений показателей достижения целей социально-экономического развития Петровского городского округа Ставропольского края осуществлялось </w:t>
      </w:r>
      <w:r w:rsidR="00010916" w:rsidRPr="000477A6">
        <w:rPr>
          <w:rFonts w:ascii="Times New Roman" w:eastAsia="Times New Roman" w:hAnsi="Times New Roman" w:cs="Times New Roman"/>
          <w:sz w:val="28"/>
          <w:szCs w:val="28"/>
        </w:rPr>
        <w:t>за счет</w:t>
      </w:r>
      <w:r w:rsidR="00800F7B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916" w:rsidRPr="000477A6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="00800F7B" w:rsidRPr="000477A6">
        <w:rPr>
          <w:rFonts w:ascii="Times New Roman" w:eastAsia="Times New Roman" w:hAnsi="Times New Roman" w:cs="Times New Roman"/>
          <w:sz w:val="28"/>
          <w:szCs w:val="28"/>
        </w:rPr>
        <w:t>мероприятий плана по реализации стратегии округа.</w:t>
      </w:r>
    </w:p>
    <w:p w14:paraId="5BD7CE20" w14:textId="77777777" w:rsidR="00800F7B" w:rsidRPr="000477A6" w:rsidRDefault="00800F7B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В ходе первого этапа реализации 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 xml:space="preserve">(2018 - 2020 годы) </w:t>
      </w:r>
      <w:r w:rsidR="00010916" w:rsidRPr="000477A6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запланировано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выполнение 127 мероприятий, причем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 xml:space="preserve"> выполнение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101 мероприяти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предусмотрено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в рамках той или иной муниципальной программы, в рамках реализации государственной программы Ставропольского края «Развитие здравоохранения» реализуется 4 мероприятия.</w:t>
      </w:r>
    </w:p>
    <w:p w14:paraId="010B75C6" w14:textId="34FD99F9" w:rsidR="00800F7B" w:rsidRPr="000477A6" w:rsidRDefault="00800F7B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</w:t>
      </w:r>
      <w:r w:rsidR="00765953">
        <w:rPr>
          <w:rFonts w:ascii="Times New Roman" w:eastAsia="Times New Roman" w:hAnsi="Times New Roman" w:cs="Times New Roman"/>
          <w:sz w:val="28"/>
          <w:szCs w:val="28"/>
        </w:rPr>
        <w:t>ответственными исполнителями мероприятий плана по реализации стратегии не была начата реализация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5953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3A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мероприятий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 xml:space="preserve"> перво</w:t>
      </w:r>
      <w:r w:rsidR="00765953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="0076595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F4F47" w:rsidRPr="000477A6">
        <w:rPr>
          <w:rFonts w:ascii="Times New Roman" w:eastAsia="Times New Roman" w:hAnsi="Times New Roman" w:cs="Times New Roman"/>
          <w:sz w:val="28"/>
          <w:szCs w:val="28"/>
        </w:rPr>
        <w:t xml:space="preserve"> реализации стратегии развития округа:</w:t>
      </w:r>
    </w:p>
    <w:p w14:paraId="2FB1DFBB" w14:textId="05DC3A4E" w:rsidR="007F4F47" w:rsidRPr="00AC2572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>1. Р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еализация регионального проекта «Борьба с сердечно-сосудистыми заболеваниями в Ставропольском крае»;</w:t>
      </w:r>
    </w:p>
    <w:p w14:paraId="3048D904" w14:textId="0008B795" w:rsidR="007F4F47" w:rsidRPr="00AC2572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>2. С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 xml:space="preserve">троительство общеобразовательной организации на 600 мест в </w:t>
      </w:r>
      <w:proofErr w:type="spellStart"/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г.Светлограде</w:t>
      </w:r>
      <w:proofErr w:type="spellEnd"/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3D67EC" w14:textId="69778599" w:rsidR="00765953" w:rsidRPr="00AC2572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F4F47" w:rsidRPr="00AC2572">
        <w:rPr>
          <w:rFonts w:ascii="Times New Roman" w:hAnsi="Times New Roman" w:cs="Times New Roman"/>
          <w:sz w:val="28"/>
          <w:szCs w:val="28"/>
        </w:rPr>
        <w:t xml:space="preserve"> </w:t>
      </w:r>
      <w:r w:rsidRPr="00AC2572">
        <w:rPr>
          <w:rFonts w:ascii="Times New Roman" w:hAnsi="Times New Roman" w:cs="Times New Roman"/>
          <w:sz w:val="28"/>
          <w:szCs w:val="28"/>
        </w:rPr>
        <w:t xml:space="preserve">Капитальный ремонт МКУ ДО «Дом детского творчества» </w:t>
      </w:r>
      <w:proofErr w:type="spellStart"/>
      <w:r w:rsidRPr="00AC2572">
        <w:rPr>
          <w:rFonts w:ascii="Times New Roman" w:hAnsi="Times New Roman" w:cs="Times New Roman"/>
          <w:sz w:val="28"/>
          <w:szCs w:val="28"/>
        </w:rPr>
        <w:t>г.Светлоград</w:t>
      </w:r>
      <w:proofErr w:type="spellEnd"/>
      <w:r w:rsidRPr="00AC2572">
        <w:rPr>
          <w:rFonts w:ascii="Times New Roman" w:hAnsi="Times New Roman" w:cs="Times New Roman"/>
          <w:sz w:val="28"/>
          <w:szCs w:val="28"/>
        </w:rPr>
        <w:t>;</w:t>
      </w:r>
    </w:p>
    <w:p w14:paraId="75BA47EA" w14:textId="36AE8F4F" w:rsidR="007F4F47" w:rsidRPr="00AC2572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hAnsi="Times New Roman" w:cs="Times New Roman"/>
          <w:sz w:val="28"/>
          <w:szCs w:val="28"/>
        </w:rPr>
        <w:t xml:space="preserve">4. </w:t>
      </w:r>
      <w:r w:rsidRPr="00AC257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апитальный ремонт МКУК «ДК с.Николина Балка»;</w:t>
      </w:r>
    </w:p>
    <w:p w14:paraId="0665D792" w14:textId="2398CA18" w:rsidR="007F4F47" w:rsidRPr="00AC2572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>5.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2572">
        <w:rPr>
          <w:rFonts w:ascii="Times New Roman" w:eastAsia="Times New Roman" w:hAnsi="Times New Roman" w:cs="Times New Roman"/>
          <w:sz w:val="28"/>
          <w:szCs w:val="28"/>
        </w:rPr>
        <w:t>З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амена кресел в МКУК «ДК с. Просянка»;</w:t>
      </w:r>
    </w:p>
    <w:p w14:paraId="22C04640" w14:textId="48E0F588" w:rsidR="00AC2572" w:rsidRPr="00AC2572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AC2572" w:rsidRPr="00AC2572">
        <w:rPr>
          <w:rFonts w:ascii="Times New Roman" w:eastAsia="Times New Roman" w:hAnsi="Times New Roman" w:cs="Times New Roman"/>
          <w:sz w:val="28"/>
          <w:szCs w:val="28"/>
        </w:rPr>
        <w:t>Реконструкция стадиона в с. Донская Балка;</w:t>
      </w:r>
    </w:p>
    <w:p w14:paraId="26FAFB65" w14:textId="6453E1F0" w:rsidR="00765953" w:rsidRPr="00AC2572" w:rsidRDefault="00AC2572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Реконструкция стадиона в городе Светлограде;</w:t>
      </w:r>
    </w:p>
    <w:p w14:paraId="378DB7C9" w14:textId="5151BFF7" w:rsidR="00765953" w:rsidRPr="00AC2572" w:rsidRDefault="00AC2572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>8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. Организация и проведение межрайонного краевого фестиваля авторской песни имени С.</w:t>
      </w:r>
      <w:r w:rsidR="00C954CE" w:rsidRPr="00AC257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54CE" w:rsidRPr="00AC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Севрюкова;</w:t>
      </w:r>
    </w:p>
    <w:p w14:paraId="0C0B9D63" w14:textId="294D40CF" w:rsidR="007F4F47" w:rsidRPr="00AC2572" w:rsidRDefault="00AC2572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оздание филиала № 2 (</w:t>
      </w:r>
      <w:proofErr w:type="spellStart"/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п.Горный</w:t>
      </w:r>
      <w:proofErr w:type="spellEnd"/>
      <w:r w:rsidR="007F4F47" w:rsidRPr="00AC2572">
        <w:rPr>
          <w:rFonts w:ascii="Times New Roman" w:eastAsia="Times New Roman" w:hAnsi="Times New Roman" w:cs="Times New Roman"/>
          <w:sz w:val="28"/>
          <w:szCs w:val="28"/>
        </w:rPr>
        <w:t>) МКУК «Петровская централизованная библиотечная система»;</w:t>
      </w:r>
    </w:p>
    <w:p w14:paraId="34A18BEC" w14:textId="4A68995F" w:rsidR="007F4F47" w:rsidRDefault="00AC2572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2324" w:rsidRPr="00AC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5953" w:rsidRPr="00AC257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82324" w:rsidRPr="00AC2572">
        <w:rPr>
          <w:rFonts w:ascii="Times New Roman" w:eastAsia="Times New Roman" w:hAnsi="Times New Roman" w:cs="Times New Roman"/>
          <w:sz w:val="28"/>
          <w:szCs w:val="28"/>
        </w:rPr>
        <w:t>одготовка и утверждение генерального плана Петровского городского округа Ставропольского края;</w:t>
      </w:r>
    </w:p>
    <w:p w14:paraId="29D0A1E9" w14:textId="1D33739A" w:rsidR="00AC2572" w:rsidRPr="00AC2572" w:rsidRDefault="00AC2572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Подготовка и утверждение правил землепользования и застройки Петровского городского округа Ставропольского края</w:t>
      </w:r>
    </w:p>
    <w:p w14:paraId="77F11E2A" w14:textId="336109F8" w:rsidR="00282324" w:rsidRDefault="00765953" w:rsidP="00C954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57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C257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C25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2324" w:rsidRPr="00AC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257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82324" w:rsidRPr="00AC2572">
        <w:rPr>
          <w:rFonts w:ascii="Times New Roman" w:eastAsia="Times New Roman" w:hAnsi="Times New Roman" w:cs="Times New Roman"/>
          <w:sz w:val="28"/>
          <w:szCs w:val="28"/>
        </w:rPr>
        <w:t>азработка и утверждение документации по планированию территории Петровского городского округа Ставропольского края</w:t>
      </w:r>
      <w:r w:rsidR="00C954CE" w:rsidRPr="00AC257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CC84ABC" w14:textId="72344D3C" w:rsidR="00C43AE9" w:rsidRPr="00C43AE9" w:rsidRDefault="00C43AE9" w:rsidP="00C954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Разработка и утверждение документации по межеванию территории Петр</w:t>
      </w:r>
      <w:r w:rsidRPr="00C43AE9">
        <w:rPr>
          <w:rFonts w:ascii="Times New Roman" w:eastAsia="Times New Roman" w:hAnsi="Times New Roman" w:cs="Times New Roman"/>
          <w:sz w:val="28"/>
          <w:szCs w:val="28"/>
        </w:rPr>
        <w:t>овского городского округа Ставропольского края;</w:t>
      </w:r>
    </w:p>
    <w:p w14:paraId="2C526395" w14:textId="6F573BF3" w:rsidR="00C954CE" w:rsidRPr="00C43AE9" w:rsidRDefault="00C954CE" w:rsidP="00C954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AE9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3AE9" w:rsidRPr="00C43AE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3AE9">
        <w:rPr>
          <w:rFonts w:ascii="Times New Roman" w:eastAsia="Times New Roman" w:hAnsi="Times New Roman" w:cs="Times New Roman"/>
          <w:sz w:val="28"/>
          <w:szCs w:val="28"/>
        </w:rPr>
        <w:t xml:space="preserve">. Строительство производственно-складского здания и производство макаронных изделий мощностью 100 тонн в сутки; </w:t>
      </w:r>
    </w:p>
    <w:p w14:paraId="5D8BA6B4" w14:textId="28653ACF" w:rsidR="00282324" w:rsidRPr="00C43AE9" w:rsidRDefault="00765953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AE9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3A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3A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2324" w:rsidRPr="00C43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AE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82324" w:rsidRPr="00C43AE9">
        <w:rPr>
          <w:rFonts w:ascii="Times New Roman" w:eastAsia="Times New Roman" w:hAnsi="Times New Roman" w:cs="Times New Roman"/>
          <w:sz w:val="28"/>
          <w:szCs w:val="28"/>
        </w:rPr>
        <w:t>троительство цеха по фасовке, переработке овощной и плодово-ягодной продукции.</w:t>
      </w:r>
    </w:p>
    <w:p w14:paraId="518721AE" w14:textId="6A02C6DC" w:rsidR="00D205B8" w:rsidRDefault="00010916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5E6C2A" w:rsidRPr="000477A6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выполнении мероприятий</w:t>
      </w:r>
      <w:r w:rsidR="005E6C2A" w:rsidRPr="000477A6">
        <w:rPr>
          <w:rFonts w:ascii="Times New Roman" w:eastAsia="Times New Roman" w:hAnsi="Times New Roman" w:cs="Times New Roman"/>
          <w:sz w:val="28"/>
          <w:szCs w:val="28"/>
        </w:rPr>
        <w:t xml:space="preserve"> плана по реализации стратегии за 201</w:t>
      </w:r>
      <w:r w:rsidR="001819A9" w:rsidRPr="000477A6">
        <w:rPr>
          <w:rFonts w:ascii="Times New Roman" w:eastAsia="Times New Roman" w:hAnsi="Times New Roman" w:cs="Times New Roman"/>
          <w:sz w:val="28"/>
          <w:szCs w:val="28"/>
        </w:rPr>
        <w:t>9</w:t>
      </w:r>
      <w:r w:rsidR="005E6C2A"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 с указанием причин невыполнения мероприятий приведен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E6C2A" w:rsidRPr="000477A6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2 к Сводному отчету о реализации стратегии социально-экономического развития Петровского городского округа Ставропольского края до 2035 года и о ходе исполнения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6C2A" w:rsidRPr="000477A6">
        <w:rPr>
          <w:rFonts w:ascii="Times New Roman" w:eastAsia="Times New Roman" w:hAnsi="Times New Roman" w:cs="Times New Roman"/>
          <w:sz w:val="28"/>
          <w:szCs w:val="28"/>
        </w:rPr>
        <w:t>лана мероприятий по реализации стратегии социально-экономического развития Петровского городского округа Ставропольского края до 2035 года.</w:t>
      </w:r>
    </w:p>
    <w:p w14:paraId="0793DC03" w14:textId="77777777" w:rsidR="00354135" w:rsidRPr="000477A6" w:rsidRDefault="00354135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23E554" w14:textId="1DD86875" w:rsidR="00282324" w:rsidRPr="000477A6" w:rsidRDefault="00282324" w:rsidP="0035413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3. Финансовое обеспечение плана мероприятий по реализации стратегии социально-экономического развития Петровского городского округа Ставропольского края за 201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14:paraId="2421AE8B" w14:textId="77777777" w:rsidR="00D205B8" w:rsidRPr="000477A6" w:rsidRDefault="00D205B8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31DAF8" w14:textId="2493F298" w:rsidR="005E6C2A" w:rsidRPr="000477A6" w:rsidRDefault="005E6C2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На реализацию плана по реализации стратегии округа в 201</w:t>
      </w:r>
      <w:r w:rsidR="001819A9" w:rsidRPr="000477A6">
        <w:rPr>
          <w:rFonts w:ascii="Times New Roman" w:eastAsia="Times New Roman" w:hAnsi="Times New Roman" w:cs="Times New Roman"/>
          <w:sz w:val="28"/>
          <w:szCs w:val="28"/>
        </w:rPr>
        <w:t xml:space="preserve">9 году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направлено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7</w:t>
      </w:r>
      <w:r w:rsidR="006E4A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83</w:t>
      </w:r>
      <w:r w:rsidR="006E4A7B">
        <w:rPr>
          <w:rFonts w:ascii="Times New Roman" w:eastAsia="Times New Roman" w:hAnsi="Times New Roman" w:cs="Times New Roman"/>
          <w:sz w:val="28"/>
          <w:szCs w:val="28"/>
        </w:rPr>
        <w:t>7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,88</w:t>
      </w:r>
      <w:r w:rsidR="00611107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млн. рублей, в том числе:</w:t>
      </w:r>
    </w:p>
    <w:p w14:paraId="02AA3915" w14:textId="7E9CD9C3" w:rsidR="005E6C2A" w:rsidRPr="000477A6" w:rsidRDefault="005E6C2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- средств</w:t>
      </w:r>
      <w:r w:rsidR="00604F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бюджета Ставропольского края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6</w:t>
      </w:r>
      <w:r w:rsidR="006E4A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8</w:t>
      </w:r>
      <w:r w:rsidR="006E4A7B">
        <w:rPr>
          <w:rFonts w:ascii="Times New Roman" w:eastAsia="Times New Roman" w:hAnsi="Times New Roman" w:cs="Times New Roman"/>
          <w:sz w:val="28"/>
          <w:szCs w:val="28"/>
        </w:rPr>
        <w:t>09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,91</w:t>
      </w:r>
      <w:r w:rsidR="00282324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млн. рублей</w:t>
      </w:r>
      <w:r w:rsidR="00611107" w:rsidRPr="000477A6">
        <w:rPr>
          <w:rFonts w:ascii="Times New Roman" w:eastAsia="Times New Roman" w:hAnsi="Times New Roman" w:cs="Times New Roman"/>
          <w:sz w:val="28"/>
          <w:szCs w:val="28"/>
        </w:rPr>
        <w:t xml:space="preserve"> (в том числе в рамках муниципальных программ -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6E4A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073,86</w:t>
      </w:r>
      <w:r w:rsidR="00611107" w:rsidRPr="000477A6">
        <w:rPr>
          <w:rFonts w:ascii="Times New Roman" w:eastAsia="Times New Roman" w:hAnsi="Times New Roman" w:cs="Times New Roman"/>
          <w:sz w:val="28"/>
          <w:szCs w:val="28"/>
        </w:rPr>
        <w:t xml:space="preserve"> млн. рублей)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;</w:t>
      </w:r>
      <w:r w:rsidR="00611107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5C9E10" w14:textId="625AFDEE" w:rsidR="00D205B8" w:rsidRPr="000477A6" w:rsidRDefault="005E6C2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- средств</w:t>
      </w:r>
      <w:r w:rsidR="00604F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бюджета округа в рамках муниципальных программ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>844,06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1728B7F0" w14:textId="57CC8979" w:rsidR="00D205B8" w:rsidRPr="000477A6" w:rsidRDefault="005E6C2A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>- средств</w:t>
      </w:r>
      <w:r w:rsidR="00604F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33E">
        <w:rPr>
          <w:rFonts w:ascii="Times New Roman" w:eastAsia="Times New Roman" w:hAnsi="Times New Roman" w:cs="Times New Roman"/>
          <w:sz w:val="28"/>
          <w:szCs w:val="28"/>
        </w:rPr>
        <w:t xml:space="preserve">юридических и физических лиц </w:t>
      </w:r>
      <w:r w:rsidR="00B8733E" w:rsidRPr="00B8733E">
        <w:rPr>
          <w:rFonts w:ascii="Times New Roman" w:eastAsia="Times New Roman" w:hAnsi="Times New Roman" w:cs="Times New Roman"/>
          <w:sz w:val="28"/>
          <w:szCs w:val="28"/>
        </w:rPr>
        <w:t>183,91</w:t>
      </w:r>
      <w:r w:rsidR="00850C87" w:rsidRPr="00B8733E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850C87" w:rsidRPr="000477A6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14:paraId="102540CA" w14:textId="77777777" w:rsidR="00D205B8" w:rsidRPr="000477A6" w:rsidRDefault="00D205B8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334D9E" w14:textId="77777777" w:rsidR="0033492F" w:rsidRPr="000477A6" w:rsidRDefault="00611107" w:rsidP="0035413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3492F" w:rsidRPr="000477A6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33492F" w:rsidRPr="00047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дальнейшей реализации стратегии социально-экономического развития Петровского городского округа Ставропольского края до 2035 </w:t>
      </w:r>
    </w:p>
    <w:p w14:paraId="4B355DC5" w14:textId="77777777" w:rsidR="0033492F" w:rsidRPr="000477A6" w:rsidRDefault="0033492F" w:rsidP="00047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84357" w14:textId="0C51EC12" w:rsidR="009003AF" w:rsidRDefault="0033492F" w:rsidP="009003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проведенного </w:t>
      </w:r>
      <w:r w:rsidR="002E7737" w:rsidRPr="000477A6">
        <w:rPr>
          <w:rFonts w:ascii="Times New Roman" w:eastAsia="Times New Roman" w:hAnsi="Times New Roman" w:cs="Times New Roman"/>
          <w:sz w:val="28"/>
          <w:szCs w:val="28"/>
        </w:rPr>
        <w:t>мониторинга и контроля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выполнения показателей достижения целей социально-экономического развития Петровского городского округа Ставропольского края и реализации </w:t>
      </w:r>
      <w:r w:rsidR="002E7737" w:rsidRPr="000477A6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плана по реализации стратегии округа за 201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8</w:t>
      </w:r>
      <w:r w:rsidR="00900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>год и первое полугодие 20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0477A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541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0BE4">
        <w:rPr>
          <w:rFonts w:ascii="Times New Roman" w:eastAsia="Times New Roman" w:hAnsi="Times New Roman" w:cs="Times New Roman"/>
          <w:sz w:val="28"/>
          <w:szCs w:val="28"/>
        </w:rPr>
        <w:t xml:space="preserve">в четвертом квартале 2019 года </w:t>
      </w:r>
      <w:r w:rsidR="009003AF">
        <w:rPr>
          <w:rFonts w:ascii="Times New Roman" w:eastAsia="Times New Roman" w:hAnsi="Times New Roman" w:cs="Times New Roman"/>
          <w:sz w:val="28"/>
          <w:szCs w:val="28"/>
        </w:rPr>
        <w:t xml:space="preserve">отделом стратегического планирования и инвестиций </w:t>
      </w:r>
      <w:r w:rsidR="00C43AE9">
        <w:rPr>
          <w:rFonts w:ascii="Times New Roman" w:eastAsia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C102B7">
        <w:rPr>
          <w:rFonts w:ascii="Times New Roman" w:eastAsia="Times New Roman" w:hAnsi="Times New Roman" w:cs="Times New Roman"/>
          <w:sz w:val="28"/>
          <w:szCs w:val="28"/>
        </w:rPr>
        <w:t xml:space="preserve"> (далее - отдел стратегического планирования и инвестиций)</w:t>
      </w:r>
      <w:r w:rsidR="00C43AE9">
        <w:rPr>
          <w:rFonts w:ascii="Times New Roman" w:eastAsia="Times New Roman" w:hAnsi="Times New Roman" w:cs="Times New Roman"/>
          <w:sz w:val="28"/>
          <w:szCs w:val="28"/>
        </w:rPr>
        <w:t xml:space="preserve"> с учетом предложений отделов и органов администрации </w:t>
      </w:r>
      <w:r w:rsidR="009003AF">
        <w:rPr>
          <w:rFonts w:ascii="Times New Roman" w:eastAsia="Times New Roman" w:hAnsi="Times New Roman" w:cs="Times New Roman"/>
          <w:sz w:val="28"/>
          <w:szCs w:val="28"/>
        </w:rPr>
        <w:t>был разработан проект изменений в стратегию развития округа</w:t>
      </w:r>
      <w:r w:rsidR="00C43AE9">
        <w:rPr>
          <w:rFonts w:ascii="Times New Roman" w:eastAsia="Times New Roman" w:hAnsi="Times New Roman" w:cs="Times New Roman"/>
          <w:sz w:val="28"/>
          <w:szCs w:val="28"/>
        </w:rPr>
        <w:t xml:space="preserve"> (далее - проект изменений)</w:t>
      </w:r>
      <w:r w:rsidR="009003A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510AD73" w14:textId="6A5BEAFA" w:rsidR="006A56BD" w:rsidRPr="006A56BD" w:rsidRDefault="009003AF" w:rsidP="006A56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Прежде всего </w:t>
      </w:r>
      <w:r w:rsidR="00C43AE9">
        <w:rPr>
          <w:rFonts w:ascii="Times New Roman" w:eastAsia="Times New Roman" w:hAnsi="Times New Roman" w:cs="Times New Roman"/>
          <w:sz w:val="28"/>
          <w:szCs w:val="28"/>
        </w:rPr>
        <w:t>был разработан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новый раздел «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>Основные направления социально-экономического развития Петровского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>. Были предусмотрены к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>оличественные значения показателей достижения целей социально-экономического развития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прогнозом социально-экономического развития округа на период до 2035 года и предельные объемы 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 xml:space="preserve">расходов бюджета 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>на реализацию муниципальных программ на период их действия</w:t>
      </w:r>
      <w:r w:rsidR="00EE0B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>актуализирован</w:t>
      </w:r>
      <w:r w:rsidR="00EE0BE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>истема целей и задач социально-экономического развития округа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>и направлений деятельности по их достижению (выполнению)</w:t>
      </w:r>
      <w:r w:rsidR="00EE0B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A56BD" w:rsidRPr="006A56BD">
        <w:rPr>
          <w:rFonts w:ascii="Times New Roman" w:eastAsia="Times New Roman" w:hAnsi="Times New Roman" w:cs="Times New Roman"/>
          <w:sz w:val="28"/>
          <w:szCs w:val="28"/>
        </w:rPr>
        <w:t xml:space="preserve">перечень проектов (инвестиционных проектов), реализуемых и (или) планируемых к реализации </w:t>
      </w:r>
      <w:r w:rsidR="006A56BD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округа до 2035 года. </w:t>
      </w:r>
    </w:p>
    <w:p w14:paraId="584A1928" w14:textId="7431E762" w:rsidR="00DD3DB3" w:rsidRDefault="002E20EE" w:rsidP="00DD3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декабре 2019 года </w:t>
      </w:r>
      <w:r w:rsidRPr="00DD3DB3">
        <w:rPr>
          <w:rFonts w:ascii="Times New Roman" w:eastAsia="Calibri" w:hAnsi="Times New Roman" w:cs="Times New Roman"/>
          <w:sz w:val="28"/>
          <w:szCs w:val="28"/>
          <w:lang w:eastAsia="en-US"/>
        </w:rPr>
        <w:t>проект изменений</w:t>
      </w:r>
      <w:r w:rsidR="00C43A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был направлен на согласование в министерство экономического развития Ставропольского края.</w:t>
      </w:r>
      <w:r w:rsidR="00DD3DB3" w:rsidRPr="00DD3D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F335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свою очередь </w:t>
      </w:r>
      <w:r w:rsidR="00EF33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министерство экономического развития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DD3DB3" w:rsidRPr="00DD3DB3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соответствии с Порядком согласования проектов стратегий социально-экономического развития муниципальных районов и городских округов Ставропольского края, утвержденн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ым</w:t>
      </w:r>
      <w:r w:rsidR="00DD3DB3" w:rsidRPr="00DD3D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приказом министерства экономического развития Ставропольского края от 08 апреля 2019 года № 116/од</w:t>
      </w:r>
      <w:r w:rsidR="00EF335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направило его для рассмотрения участникам проектного офиса </w:t>
      </w:r>
      <w:r w:rsidRPr="00DD3DB3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стратегий социально-экономического развития муниципальных районов и городских округов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464EDBF4" w14:textId="19100ADB" w:rsidR="00DD6E30" w:rsidRDefault="00C43AE9" w:rsidP="00DD6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результатам рассмотрения</w:t>
      </w:r>
      <w:r w:rsidR="00C10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проекта изменений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оложительные заключения </w:t>
      </w:r>
      <w:r w:rsidR="00BF7565">
        <w:rPr>
          <w:rFonts w:ascii="Times New Roman" w:eastAsia="Times New Roman" w:hAnsi="Times New Roman" w:cs="Times New Roman"/>
          <w:sz w:val="28"/>
          <w:szCs w:val="28"/>
          <w:lang w:eastAsia="en-US"/>
        </w:rPr>
        <w:t>были даны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>министерств</w:t>
      </w:r>
      <w:r w:rsidR="00BF75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ами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>дорожного хозяйства и транспорта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сельского хозяйства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>труда и социальной защиты населения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имущественных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отношений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D6E30" w:rsidRPr="002E20EE">
        <w:t xml:space="preserve">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комитет</w:t>
      </w:r>
      <w:r w:rsidR="00BF756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ом </w:t>
      </w:r>
      <w:r w:rsidR="00DD6E30" w:rsidRPr="002E20EE">
        <w:rPr>
          <w:rFonts w:ascii="Times New Roman" w:eastAsia="Times New Roman" w:hAnsi="Times New Roman" w:cs="Times New Roman"/>
          <w:sz w:val="28"/>
          <w:szCs w:val="28"/>
          <w:lang w:eastAsia="en-US"/>
        </w:rPr>
        <w:t>по пищевой и перерабатывающей промышленности, торговле и лицензированию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441266C0" w14:textId="1941FABC" w:rsidR="00DD6E30" w:rsidRPr="00DD3DB3" w:rsidRDefault="00BF7565" w:rsidP="00DD6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Замечания, предложения, рекомендации в части структуры и содержания проекта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содержались в заключениях м</w:t>
      </w:r>
      <w:r w:rsidR="00DD6E30" w:rsidRP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инистерств</w:t>
      </w:r>
      <w:r w:rsidR="00543B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экономического развития, </w:t>
      </w:r>
      <w:r w:rsidR="00543B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образования, культуры, </w:t>
      </w:r>
      <w:r w:rsidR="00543B3D" w:rsidRPr="00543B3D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строительства и архитектуры</w:t>
      </w:r>
      <w:r w:rsidR="00543B3D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543B3D" w:rsidRPr="00543B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D6E30" w:rsidRP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природных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D6E30" w:rsidRP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ресурсов и охраны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D6E30" w:rsidRP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окружающей среды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D6E30" w:rsidRPr="00DD6E30">
        <w:t xml:space="preserve"> </w:t>
      </w:r>
      <w:r w:rsidR="00DD6E30" w:rsidRP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энергетики, промышленности и связи</w:t>
      </w:r>
      <w:r w:rsid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D6E30" w:rsidRPr="00DD6E30">
        <w:t xml:space="preserve"> </w:t>
      </w:r>
      <w:r w:rsidR="00DD6E30" w:rsidRPr="00DD6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туризма и оздоровительных курортов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края.</w:t>
      </w:r>
    </w:p>
    <w:p w14:paraId="3C7C6E58" w14:textId="3D957DB8" w:rsidR="00543B3D" w:rsidRDefault="00543B3D" w:rsidP="00C102B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Отделом стратегического планирования и инвестиций совместно с отделами культуры, образования, </w:t>
      </w:r>
      <w:r w:rsidR="00E72F7E" w:rsidRPr="00E72F7E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планирования территорий и землеустройства</w:t>
      </w:r>
      <w:r w:rsidR="00E72F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E72F7E" w:rsidRPr="00E72F7E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развития предпринимательства, торговли и потребительского рынка</w:t>
      </w:r>
      <w:r w:rsidR="00E72F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администрации марте 2020 года была проведена работа по устранению выявленных недочетов и включению предложений органов исполнительной власти Ставропольского кра</w:t>
      </w:r>
      <w:r w:rsidR="00C102B7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="00E72F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14:paraId="08B806F8" w14:textId="2B04C1AE" w:rsidR="00682549" w:rsidRDefault="00682549" w:rsidP="0054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BF756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 изменений</w:t>
      </w:r>
      <w:r w:rsidR="00EE0B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учетом всех замечаний и предложений органов исполнительной власти края</w:t>
      </w:r>
      <w:r w:rsidR="00BF7565">
        <w:rPr>
          <w:rFonts w:ascii="Times New Roman" w:eastAsia="Times New Roman" w:hAnsi="Times New Roman" w:cs="Times New Roman"/>
          <w:sz w:val="28"/>
          <w:szCs w:val="28"/>
          <w:lang w:eastAsia="en-US"/>
        </w:rPr>
        <w:t>, был направлен на повторное согласование в министерство экономического развития Ставроп</w:t>
      </w:r>
      <w:r w:rsidR="00EE0B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ольского края в мае 2020 года.  </w:t>
      </w:r>
    </w:p>
    <w:p w14:paraId="3786F8C5" w14:textId="53C82454" w:rsidR="00B42C15" w:rsidRPr="00DB2223" w:rsidRDefault="00EF3357" w:rsidP="00DB2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46EE9">
        <w:rPr>
          <w:rFonts w:ascii="Times New Roman" w:eastAsia="Times New Roman" w:hAnsi="Times New Roman" w:cs="Times New Roman"/>
          <w:sz w:val="28"/>
          <w:szCs w:val="28"/>
        </w:rPr>
        <w:t>Изменения в стратегию развития округа будут утверждены п</w:t>
      </w:r>
      <w:r>
        <w:rPr>
          <w:rFonts w:ascii="Times New Roman" w:eastAsia="Times New Roman" w:hAnsi="Times New Roman" w:cs="Times New Roman"/>
          <w:sz w:val="28"/>
          <w:szCs w:val="28"/>
        </w:rPr>
        <w:t>осле получения положительного заключения министерств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экономического развития Ставропольского края </w:t>
      </w:r>
      <w:r w:rsidR="00230BEB">
        <w:rPr>
          <w:rFonts w:ascii="Times New Roman" w:eastAsia="Times New Roman" w:hAnsi="Times New Roman" w:cs="Times New Roman"/>
          <w:sz w:val="28"/>
          <w:szCs w:val="28"/>
        </w:rPr>
        <w:t xml:space="preserve">и прохождения обязательных этапов корректировки, определенных </w:t>
      </w:r>
      <w:r w:rsidR="00230BEB" w:rsidRPr="00230BEB">
        <w:rPr>
          <w:rFonts w:ascii="Times New Roman" w:eastAsia="Times New Roman" w:hAnsi="Times New Roman" w:cs="Times New Roman"/>
          <w:sz w:val="28"/>
          <w:szCs w:val="28"/>
        </w:rPr>
        <w:t>Порядк</w:t>
      </w:r>
      <w:r w:rsidR="00230BE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30BEB" w:rsidRPr="00230BEB">
        <w:rPr>
          <w:rFonts w:ascii="Times New Roman" w:eastAsia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развития округа </w:t>
      </w:r>
      <w:r w:rsidR="00230BEB">
        <w:rPr>
          <w:rFonts w:ascii="Times New Roman" w:eastAsia="Times New Roman" w:hAnsi="Times New Roman" w:cs="Times New Roman"/>
          <w:sz w:val="28"/>
          <w:szCs w:val="28"/>
        </w:rPr>
        <w:t>(п</w:t>
      </w:r>
      <w:r w:rsidR="00230BEB" w:rsidRPr="00230BEB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администрации Петровского городского округа Ставропольского края от 15.05.2018 </w:t>
      </w:r>
      <w:r w:rsidR="00230BE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30BEB" w:rsidRPr="00230BEB">
        <w:rPr>
          <w:rFonts w:ascii="Times New Roman" w:eastAsia="Times New Roman" w:hAnsi="Times New Roman" w:cs="Times New Roman"/>
          <w:sz w:val="28"/>
          <w:szCs w:val="28"/>
        </w:rPr>
        <w:t>736</w:t>
      </w:r>
      <w:r w:rsidR="00230BE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1CA58CB" w14:textId="08530495" w:rsidR="00230BEB" w:rsidRDefault="00230BEB" w:rsidP="00546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46EE9">
        <w:rPr>
          <w:rFonts w:ascii="Times New Roman" w:eastAsia="Times New Roman" w:hAnsi="Times New Roman" w:cs="Times New Roman"/>
          <w:sz w:val="28"/>
          <w:szCs w:val="28"/>
        </w:rPr>
        <w:t>После утверждения изменений в стратегию развития округа потребуется корректировка о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>сновны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 xml:space="preserve"> инструмент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>тратегии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реализации стратегии развития округа</w:t>
      </w:r>
      <w:r w:rsidR="00E603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>прогноз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30BEB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социально-экономического развития округа на долгосрочный период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>. В настоящее время идет разработка проектов муниципальных программ на период 2010 - 2026 годов, в которы</w:t>
      </w:r>
      <w:r w:rsidR="00C102B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 xml:space="preserve"> также должны найти отражение</w:t>
      </w:r>
      <w:r w:rsidR="00C102B7">
        <w:rPr>
          <w:rFonts w:ascii="Times New Roman" w:eastAsia="Times New Roman" w:hAnsi="Times New Roman" w:cs="Times New Roman"/>
          <w:sz w:val="28"/>
          <w:szCs w:val="28"/>
        </w:rPr>
        <w:t xml:space="preserve"> изменения </w:t>
      </w:r>
      <w:r w:rsidR="00546EE9">
        <w:rPr>
          <w:rFonts w:ascii="Times New Roman" w:eastAsia="Times New Roman" w:hAnsi="Times New Roman" w:cs="Times New Roman"/>
          <w:sz w:val="28"/>
          <w:szCs w:val="28"/>
        </w:rPr>
        <w:t xml:space="preserve">в стратегию развития округа. </w:t>
      </w:r>
    </w:p>
    <w:p w14:paraId="761C15C0" w14:textId="738D3F58" w:rsidR="00230BEB" w:rsidRDefault="00230BEB" w:rsidP="0004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C402EA" w14:textId="371272BC" w:rsidR="00102566" w:rsidRDefault="00102566" w:rsidP="0004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C8723C" w14:textId="77777777" w:rsidR="001E7611" w:rsidRDefault="001E7611" w:rsidP="0004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71283" w14:textId="77777777" w:rsidR="00FF3F27" w:rsidRPr="00FF3F27" w:rsidRDefault="00FF3F27" w:rsidP="00FF3F27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3F27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главы администрации</w:t>
      </w:r>
    </w:p>
    <w:p w14:paraId="7D3DE9C7" w14:textId="77777777" w:rsidR="00FF3F27" w:rsidRPr="00FF3F27" w:rsidRDefault="00FF3F27" w:rsidP="00FF3F27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14:paraId="4B3E6E5B" w14:textId="6328CE5C" w:rsidR="00FF3F27" w:rsidRPr="00FF3F27" w:rsidRDefault="00FF3F27" w:rsidP="00FF3F27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F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proofErr w:type="spellStart"/>
      <w:r w:rsidRPr="00FF3F27">
        <w:rPr>
          <w:rFonts w:ascii="Times New Roman" w:eastAsia="Calibri" w:hAnsi="Times New Roman" w:cs="Times New Roman"/>
          <w:sz w:val="28"/>
          <w:szCs w:val="28"/>
          <w:lang w:eastAsia="en-US"/>
        </w:rPr>
        <w:t>Е.И.Сергеева</w:t>
      </w:r>
      <w:proofErr w:type="spellEnd"/>
    </w:p>
    <w:p w14:paraId="4DD134A1" w14:textId="2ED805E6" w:rsidR="00546EE9" w:rsidRPr="001E7611" w:rsidRDefault="00546EE9" w:rsidP="00FF3F2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546EE9" w:rsidRPr="001E7611" w:rsidSect="00FF3F2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12E7"/>
    <w:multiLevelType w:val="hybridMultilevel"/>
    <w:tmpl w:val="FA1E0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D37A6"/>
    <w:multiLevelType w:val="hybridMultilevel"/>
    <w:tmpl w:val="572489E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22467D99"/>
    <w:multiLevelType w:val="hybridMultilevel"/>
    <w:tmpl w:val="245C35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7163F9"/>
    <w:multiLevelType w:val="hybridMultilevel"/>
    <w:tmpl w:val="11A083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56BB3"/>
    <w:multiLevelType w:val="hybridMultilevel"/>
    <w:tmpl w:val="AD94811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76450D34"/>
    <w:multiLevelType w:val="hybridMultilevel"/>
    <w:tmpl w:val="572489E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D6E"/>
    <w:rsid w:val="00001200"/>
    <w:rsid w:val="00003560"/>
    <w:rsid w:val="00010916"/>
    <w:rsid w:val="00011D62"/>
    <w:rsid w:val="00017876"/>
    <w:rsid w:val="000373BF"/>
    <w:rsid w:val="000477A6"/>
    <w:rsid w:val="0006156C"/>
    <w:rsid w:val="0006242F"/>
    <w:rsid w:val="00071E81"/>
    <w:rsid w:val="0007743B"/>
    <w:rsid w:val="000A2FB9"/>
    <w:rsid w:val="000A4D5E"/>
    <w:rsid w:val="000B63FA"/>
    <w:rsid w:val="000E139F"/>
    <w:rsid w:val="000E71CE"/>
    <w:rsid w:val="000F079B"/>
    <w:rsid w:val="00102566"/>
    <w:rsid w:val="00122050"/>
    <w:rsid w:val="00150D90"/>
    <w:rsid w:val="00156AEC"/>
    <w:rsid w:val="00161BFE"/>
    <w:rsid w:val="00164795"/>
    <w:rsid w:val="001819A9"/>
    <w:rsid w:val="00187189"/>
    <w:rsid w:val="001A3A12"/>
    <w:rsid w:val="001B528F"/>
    <w:rsid w:val="001B7600"/>
    <w:rsid w:val="001E177C"/>
    <w:rsid w:val="001E1919"/>
    <w:rsid w:val="001E6A98"/>
    <w:rsid w:val="001E7611"/>
    <w:rsid w:val="001F6E6C"/>
    <w:rsid w:val="00203ABF"/>
    <w:rsid w:val="002179FA"/>
    <w:rsid w:val="00225AEA"/>
    <w:rsid w:val="00230BEB"/>
    <w:rsid w:val="002630C5"/>
    <w:rsid w:val="002658EF"/>
    <w:rsid w:val="0027343A"/>
    <w:rsid w:val="00282324"/>
    <w:rsid w:val="002939D7"/>
    <w:rsid w:val="00293B80"/>
    <w:rsid w:val="002B07BB"/>
    <w:rsid w:val="002C02A2"/>
    <w:rsid w:val="002C7082"/>
    <w:rsid w:val="002E0377"/>
    <w:rsid w:val="002E20EE"/>
    <w:rsid w:val="002E7737"/>
    <w:rsid w:val="0032558A"/>
    <w:rsid w:val="0033492F"/>
    <w:rsid w:val="00340BF4"/>
    <w:rsid w:val="00341FFE"/>
    <w:rsid w:val="00343CFD"/>
    <w:rsid w:val="00354135"/>
    <w:rsid w:val="00364485"/>
    <w:rsid w:val="00392096"/>
    <w:rsid w:val="003A0FC0"/>
    <w:rsid w:val="003B07B0"/>
    <w:rsid w:val="003B2B3D"/>
    <w:rsid w:val="003B4BD1"/>
    <w:rsid w:val="003D1A5B"/>
    <w:rsid w:val="00423141"/>
    <w:rsid w:val="00437AAD"/>
    <w:rsid w:val="00452533"/>
    <w:rsid w:val="0046491F"/>
    <w:rsid w:val="00480A9A"/>
    <w:rsid w:val="004838B4"/>
    <w:rsid w:val="004921DB"/>
    <w:rsid w:val="004A2B88"/>
    <w:rsid w:val="004A50A1"/>
    <w:rsid w:val="004B285A"/>
    <w:rsid w:val="004B7746"/>
    <w:rsid w:val="004D4CCB"/>
    <w:rsid w:val="004E5C1D"/>
    <w:rsid w:val="00521DE1"/>
    <w:rsid w:val="00536D6E"/>
    <w:rsid w:val="00543B3D"/>
    <w:rsid w:val="00546EE9"/>
    <w:rsid w:val="00554909"/>
    <w:rsid w:val="0057036B"/>
    <w:rsid w:val="00572007"/>
    <w:rsid w:val="005955FC"/>
    <w:rsid w:val="005A0988"/>
    <w:rsid w:val="005A1B98"/>
    <w:rsid w:val="005C250B"/>
    <w:rsid w:val="005E6C2A"/>
    <w:rsid w:val="00604FAE"/>
    <w:rsid w:val="00611107"/>
    <w:rsid w:val="00613B20"/>
    <w:rsid w:val="00626BA5"/>
    <w:rsid w:val="00630161"/>
    <w:rsid w:val="00631247"/>
    <w:rsid w:val="006349A6"/>
    <w:rsid w:val="006668C2"/>
    <w:rsid w:val="006707F5"/>
    <w:rsid w:val="00670E0B"/>
    <w:rsid w:val="0067309D"/>
    <w:rsid w:val="00677D7F"/>
    <w:rsid w:val="00682549"/>
    <w:rsid w:val="006A56BD"/>
    <w:rsid w:val="006A6BA1"/>
    <w:rsid w:val="006B0946"/>
    <w:rsid w:val="006C6672"/>
    <w:rsid w:val="006D0021"/>
    <w:rsid w:val="006D7A36"/>
    <w:rsid w:val="006E1419"/>
    <w:rsid w:val="006E1E8D"/>
    <w:rsid w:val="006E4A7B"/>
    <w:rsid w:val="0071777A"/>
    <w:rsid w:val="007249DB"/>
    <w:rsid w:val="00724E12"/>
    <w:rsid w:val="0073603D"/>
    <w:rsid w:val="00746826"/>
    <w:rsid w:val="00754BFC"/>
    <w:rsid w:val="00765953"/>
    <w:rsid w:val="007709E9"/>
    <w:rsid w:val="00771296"/>
    <w:rsid w:val="00791A0A"/>
    <w:rsid w:val="007B4EAC"/>
    <w:rsid w:val="007C63BF"/>
    <w:rsid w:val="007D313E"/>
    <w:rsid w:val="007F4F47"/>
    <w:rsid w:val="00800F7B"/>
    <w:rsid w:val="00803E80"/>
    <w:rsid w:val="00826AA7"/>
    <w:rsid w:val="0084214E"/>
    <w:rsid w:val="00850C87"/>
    <w:rsid w:val="00861491"/>
    <w:rsid w:val="00866664"/>
    <w:rsid w:val="008A3BEA"/>
    <w:rsid w:val="008B6095"/>
    <w:rsid w:val="008B6176"/>
    <w:rsid w:val="008B7F10"/>
    <w:rsid w:val="008D48FF"/>
    <w:rsid w:val="008E19AD"/>
    <w:rsid w:val="009003AF"/>
    <w:rsid w:val="00924BE3"/>
    <w:rsid w:val="009454E4"/>
    <w:rsid w:val="00957397"/>
    <w:rsid w:val="00961D77"/>
    <w:rsid w:val="0099231E"/>
    <w:rsid w:val="00994A73"/>
    <w:rsid w:val="009954B5"/>
    <w:rsid w:val="00996CFB"/>
    <w:rsid w:val="009A728A"/>
    <w:rsid w:val="009C31E6"/>
    <w:rsid w:val="009D302F"/>
    <w:rsid w:val="009E2683"/>
    <w:rsid w:val="00A01F37"/>
    <w:rsid w:val="00A07C9E"/>
    <w:rsid w:val="00A136E3"/>
    <w:rsid w:val="00A14CB7"/>
    <w:rsid w:val="00A37DD7"/>
    <w:rsid w:val="00A433B5"/>
    <w:rsid w:val="00A47D57"/>
    <w:rsid w:val="00A6641B"/>
    <w:rsid w:val="00A85FF8"/>
    <w:rsid w:val="00AC2572"/>
    <w:rsid w:val="00AD2443"/>
    <w:rsid w:val="00AD7AA2"/>
    <w:rsid w:val="00AE2AF1"/>
    <w:rsid w:val="00B271E9"/>
    <w:rsid w:val="00B35FD0"/>
    <w:rsid w:val="00B37CED"/>
    <w:rsid w:val="00B42C15"/>
    <w:rsid w:val="00B544DA"/>
    <w:rsid w:val="00B67075"/>
    <w:rsid w:val="00B73E9D"/>
    <w:rsid w:val="00B8733E"/>
    <w:rsid w:val="00BB155A"/>
    <w:rsid w:val="00BB2CD6"/>
    <w:rsid w:val="00BD59D5"/>
    <w:rsid w:val="00BE2AB2"/>
    <w:rsid w:val="00BF7565"/>
    <w:rsid w:val="00C102B7"/>
    <w:rsid w:val="00C118E5"/>
    <w:rsid w:val="00C1404D"/>
    <w:rsid w:val="00C16D6B"/>
    <w:rsid w:val="00C176EA"/>
    <w:rsid w:val="00C21491"/>
    <w:rsid w:val="00C22C9D"/>
    <w:rsid w:val="00C27202"/>
    <w:rsid w:val="00C41449"/>
    <w:rsid w:val="00C43AE9"/>
    <w:rsid w:val="00C55A35"/>
    <w:rsid w:val="00C7193D"/>
    <w:rsid w:val="00C954CE"/>
    <w:rsid w:val="00CB6BA1"/>
    <w:rsid w:val="00CC2AC9"/>
    <w:rsid w:val="00CC53F1"/>
    <w:rsid w:val="00CE3037"/>
    <w:rsid w:val="00CF75A7"/>
    <w:rsid w:val="00D1228F"/>
    <w:rsid w:val="00D205B8"/>
    <w:rsid w:val="00D2417A"/>
    <w:rsid w:val="00D3164A"/>
    <w:rsid w:val="00D53920"/>
    <w:rsid w:val="00D55CD5"/>
    <w:rsid w:val="00D67A13"/>
    <w:rsid w:val="00D86753"/>
    <w:rsid w:val="00D91648"/>
    <w:rsid w:val="00DB2223"/>
    <w:rsid w:val="00DB5279"/>
    <w:rsid w:val="00DD3DB3"/>
    <w:rsid w:val="00DD6E30"/>
    <w:rsid w:val="00DE1C11"/>
    <w:rsid w:val="00DE5C4D"/>
    <w:rsid w:val="00E2179E"/>
    <w:rsid w:val="00E6033B"/>
    <w:rsid w:val="00E63903"/>
    <w:rsid w:val="00E72F7E"/>
    <w:rsid w:val="00EC4D08"/>
    <w:rsid w:val="00ED2213"/>
    <w:rsid w:val="00EE0BE4"/>
    <w:rsid w:val="00EF3357"/>
    <w:rsid w:val="00F20276"/>
    <w:rsid w:val="00F20924"/>
    <w:rsid w:val="00F232B2"/>
    <w:rsid w:val="00F43D6D"/>
    <w:rsid w:val="00FB53AB"/>
    <w:rsid w:val="00FC528B"/>
    <w:rsid w:val="00FE727A"/>
    <w:rsid w:val="00FF2233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3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C15"/>
    <w:pPr>
      <w:ind w:left="720"/>
      <w:contextualSpacing/>
    </w:pPr>
  </w:style>
  <w:style w:type="character" w:customStyle="1" w:styleId="FontStyle28">
    <w:name w:val="Font Style28"/>
    <w:basedOn w:val="a0"/>
    <w:uiPriority w:val="99"/>
    <w:rsid w:val="00B42C15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42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1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423141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D316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qFormat/>
    <w:rsid w:val="0012205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Calibri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12205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64795"/>
    <w:pPr>
      <w:suppressAutoHyphens/>
      <w:autoSpaceDE w:val="0"/>
      <w:spacing w:after="0" w:line="240" w:lineRule="auto"/>
    </w:pPr>
    <w:rPr>
      <w:rFonts w:ascii="Arial" w:eastAsia="Calibri" w:hAnsi="Arial" w:cs="Arial"/>
      <w:sz w:val="28"/>
      <w:szCs w:val="28"/>
      <w:lang w:eastAsia="zh-CN"/>
    </w:rPr>
  </w:style>
  <w:style w:type="paragraph" w:customStyle="1" w:styleId="msolistparagraphmailrucssattributepostfix">
    <w:name w:val="msolistparagraph_mailru_css_attribute_postfix"/>
    <w:basedOn w:val="a"/>
    <w:rsid w:val="0016479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ody Text"/>
    <w:basedOn w:val="a"/>
    <w:link w:val="a8"/>
    <w:semiHidden/>
    <w:rsid w:val="008B7F1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semiHidden/>
    <w:rsid w:val="008B7F10"/>
    <w:rPr>
      <w:rFonts w:ascii="Times New Roman" w:eastAsia="Lucida Sans Unicode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46826"/>
    <w:rPr>
      <w:rFonts w:ascii="Arial" w:eastAsia="Calibri" w:hAnsi="Arial" w:cs="Arial"/>
      <w:sz w:val="28"/>
      <w:szCs w:val="28"/>
      <w:lang w:eastAsia="zh-CN"/>
    </w:rPr>
  </w:style>
  <w:style w:type="paragraph" w:styleId="a9">
    <w:name w:val="Normal (Web)"/>
    <w:basedOn w:val="a"/>
    <w:uiPriority w:val="99"/>
    <w:unhideWhenUsed/>
    <w:rsid w:val="001A3A1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Char"/>
    <w:rsid w:val="008421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NoSpacing1"/>
    <w:locked/>
    <w:rsid w:val="0084214E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0F07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16</Pages>
  <Words>6012</Words>
  <Characters>34269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Кириленко Лариса Васильевна</dc:creator>
  <cp:lastModifiedBy>seryak</cp:lastModifiedBy>
  <cp:revision>47</cp:revision>
  <cp:lastPrinted>2020-07-23T11:56:00Z</cp:lastPrinted>
  <dcterms:created xsi:type="dcterms:W3CDTF">2020-06-19T05:23:00Z</dcterms:created>
  <dcterms:modified xsi:type="dcterms:W3CDTF">2020-07-29T06:23:00Z</dcterms:modified>
</cp:coreProperties>
</file>