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ПРИКАЗ</w:t>
      </w:r>
    </w:p>
    <w:p w14:paraId="0300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УПРАВЛЕНИЯ МУНИЦИПАЛЬНОГО ХОЗЯЙСТВА </w:t>
      </w:r>
      <w:r>
        <w:rPr>
          <w:rFonts w:ascii="Times New Roman" w:hAnsi="Times New Roman"/>
          <w:sz w:val="24"/>
        </w:rPr>
        <w:t xml:space="preserve">АДМИНИСТРАЦИИ ПЕТРОВСКОГО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ОКРУГА</w:t>
      </w:r>
      <w:r>
        <w:rPr>
          <w:rFonts w:ascii="Times New Roman" w:hAnsi="Times New Roman"/>
          <w:sz w:val="24"/>
        </w:rPr>
        <w:t xml:space="preserve"> СТАВРОПОЛЬСКОГО КРАЯ</w:t>
      </w:r>
    </w:p>
    <w:p w14:paraId="0500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  <w:sz w:val="24"/>
        </w:rPr>
      </w:pPr>
    </w:p>
    <w:tbl>
      <w:tblPr>
        <w:tblStyle w:val="Style_1"/>
        <w:tblInd w:type="dxa" w:w="108"/>
        <w:tblLayout w:type="fixed"/>
      </w:tblPr>
      <w:tblGrid>
        <w:gridCol w:w="3008"/>
        <w:gridCol w:w="3114"/>
        <w:gridCol w:w="3066"/>
      </w:tblGrid>
      <w:tr>
        <w:trPr>
          <w:trHeight w:hRule="atLeast" w:val="208"/>
        </w:trPr>
        <w:tc>
          <w:tcPr>
            <w:tcW w:type="dxa" w:w="3008"/>
          </w:tcPr>
          <w:p w14:paraId="0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декабря 2024</w:t>
            </w:r>
          </w:p>
        </w:tc>
        <w:tc>
          <w:tcPr>
            <w:tcW w:type="dxa" w:w="3114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Светлоград</w:t>
            </w:r>
          </w:p>
        </w:tc>
        <w:tc>
          <w:tcPr>
            <w:tcW w:type="dxa" w:w="3066"/>
          </w:tcPr>
          <w:p w14:paraId="08000000">
            <w:pPr>
              <w:widowControl w:val="0"/>
              <w:spacing w:after="0" w:line="240" w:lineRule="auto"/>
              <w:ind w:firstLine="567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№61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09000000">
      <w:pPr>
        <w:spacing w:after="0" w:line="240" w:lineRule="exact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exact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детальный план-график </w:t>
      </w:r>
      <w:r>
        <w:rPr>
          <w:rFonts w:ascii="Times New Roman" w:hAnsi="Times New Roman"/>
          <w:sz w:val="28"/>
        </w:rPr>
        <w:t xml:space="preserve">реализации муниципальной программы </w:t>
      </w: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«</w:t>
      </w:r>
      <w:r>
        <w:rPr>
          <w:rFonts w:ascii="Times New Roman" w:hAnsi="Times New Roman"/>
          <w:sz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2024</w:t>
      </w:r>
      <w:r>
        <w:rPr>
          <w:rFonts w:ascii="Times New Roman" w:hAnsi="Times New Roman"/>
          <w:sz w:val="28"/>
        </w:rPr>
        <w:t xml:space="preserve"> год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</w:t>
      </w:r>
      <w:r>
        <w:rPr>
          <w:rFonts w:ascii="Times New Roman" w:hAnsi="Times New Roman"/>
          <w:sz w:val="28"/>
        </w:rPr>
        <w:t>тветствии с постановлением администрации Петровского городского округа Ставропольского края  от 11 апреля 2018 г. года № 528 «Об утверждении  Порядка разработки, реализации и оценки эффективности муниципальных программ Петровского муниципального округа Ставропольского края» (в редакции от 09 января 2024 г. № 03, от 07 мая 2024 г. № 778)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в целях реализации муниципальной программы 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</w:rPr>
        <w:t xml:space="preserve">», утвержденной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petrgosk.gosuslugi.ru/ofitsialno/ekonomika/ekonomicheskoe-razvitie/strategicheskoe-planirovanie/munitsipalnye-programmy/munitsipalnye-programmy-2021-2026-gg/formirovanie-sovremennoy-gorodskoy-sredy/dokumenty-omsu_6265.htmlОвнесенииизмененийвпостановлениеадминистрацииПетровскогогородскогоокругаСтавропольскогокраяот29декабря2017г.№28«ОбутверждениимуниципальнойпрограммыПетровскогогородскогоокругаСтавропольскогокрая«Формированиесовременнойгородскойсреды»" \o "Постановление администрации Петровского муниципального округа Ставропольского края от 29 марта 2024 г.№ 528"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>остановление</w:t>
      </w:r>
      <w:r>
        <w:rPr>
          <w:rFonts w:ascii="Times New Roman" w:hAnsi="Times New Roman"/>
          <w:sz w:val="28"/>
          <w:highlight w:val="white"/>
        </w:rPr>
        <w:t>м</w:t>
      </w:r>
      <w:r>
        <w:rPr>
          <w:rFonts w:ascii="Times New Roman" w:hAnsi="Times New Roman"/>
          <w:sz w:val="28"/>
          <w:highlight w:val="white"/>
        </w:rPr>
        <w:t xml:space="preserve"> администрации Петровского </w:t>
      </w:r>
      <w:r>
        <w:rPr>
          <w:rFonts w:ascii="Times New Roman" w:hAnsi="Times New Roman"/>
          <w:sz w:val="28"/>
          <w:highlight w:val="white"/>
        </w:rPr>
        <w:t>городского</w:t>
      </w:r>
      <w:r>
        <w:rPr>
          <w:rFonts w:ascii="Times New Roman" w:hAnsi="Times New Roman"/>
          <w:sz w:val="28"/>
          <w:highlight w:val="white"/>
        </w:rPr>
        <w:t xml:space="preserve"> округа Ставропольского кр</w:t>
      </w:r>
      <w:r>
        <w:rPr>
          <w:rFonts w:ascii="Times New Roman" w:hAnsi="Times New Roman"/>
          <w:sz w:val="28"/>
          <w:highlight w:val="white"/>
        </w:rPr>
        <w:t>ая от 13 ноября 2020 г. № 1567 «</w:t>
      </w:r>
      <w:r>
        <w:rPr>
          <w:rFonts w:ascii="Times New Roman" w:hAnsi="Times New Roman"/>
          <w:sz w:val="28"/>
          <w:highlight w:val="white"/>
        </w:rPr>
        <w:t xml:space="preserve">Об утверждении муниципальной программы Петровского </w:t>
      </w:r>
      <w:r>
        <w:rPr>
          <w:rFonts w:ascii="Times New Roman" w:hAnsi="Times New Roman"/>
          <w:sz w:val="28"/>
          <w:highlight w:val="white"/>
        </w:rPr>
        <w:t>муниципального</w:t>
      </w:r>
      <w:r>
        <w:rPr>
          <w:rFonts w:ascii="Times New Roman" w:hAnsi="Times New Roman"/>
          <w:sz w:val="28"/>
          <w:highlight w:val="white"/>
        </w:rPr>
        <w:t xml:space="preserve"> округа Ставропольского края «Развитие транспортной системы и обеспечение безопасности дорожного движения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t>»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</w:rPr>
        <w:t xml:space="preserve"> (в редакции от 01 февраля 2024 г. № 166, от 25 апреля 2024 г. № 729, от 25 декабря 2024 г. № 2265)</w:t>
      </w:r>
      <w:r>
        <w:rPr>
          <w:rFonts w:ascii="Times New Roman" w:hAnsi="Times New Roman"/>
          <w:sz w:val="28"/>
        </w:rPr>
        <w:t xml:space="preserve"> , принимая во внимание результаты мониторинга хода реализации муниципальных программ Петровского муниципального округа Ставропольского края за 1-е полугодие и 9 месяцев 2024 г.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</w:rPr>
      </w:pPr>
    </w:p>
    <w:p w14:paraId="11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изменения в</w:t>
      </w:r>
      <w:r>
        <w:rPr>
          <w:rFonts w:ascii="Times New Roman" w:hAnsi="Times New Roman"/>
          <w:sz w:val="28"/>
        </w:rPr>
        <w:t xml:space="preserve"> детальный план-график реализации муниципальной программы </w:t>
      </w: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</w:t>
      </w:r>
      <w:r>
        <w:rPr>
          <w:rFonts w:ascii="Times New Roman" w:hAnsi="Times New Roman"/>
          <w:sz w:val="28"/>
        </w:rPr>
        <w:t xml:space="preserve">Ставропольского края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petrgosk.gosuslugi.ru/ofitsialno/ekonomika/ekonomicheskoe-razvitie/strategicheskoe-planirovanie/munitsipalnye-programmy/munitsipalnye-programmy-2021-2026-gg/formirovanie-sovremennoy-gorodskoy-sredy/dokumenty-omsu_6265.htmlОвнесенииизмененийвпостановлениеадминистрацииПетровскогогородскогоокругаСтавропольскогокраяот29декабря2017г.№28«ОбутверждениимуниципальнойпрограммыПетровскогогородскогоокругаСтавропольскогокрая«Формированиесовременнойгородскойсреды»" \o "Постановление администрации Петровского муниципального округа Ставропольского края от 29 марта 2024 г.№ 528"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год, утвержденный приказом управления муниципального хозяйства администрации Петровского муниципального округа </w:t>
      </w:r>
      <w:r>
        <w:rPr>
          <w:rFonts w:ascii="Times New Roman" w:hAnsi="Times New Roman"/>
          <w:sz w:val="28"/>
        </w:rPr>
        <w:t xml:space="preserve"> Ставропольского края от 07 декабря 2024 г. № 55 «Об утверждении детального плана-графика реализации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на 2024 год», изложив в прилагаемой редакции.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 приказ управления муниципального хозяйства администрации Петровского муниципального округа Ставропольского края от 25 июня 2024 г. № 18 «</w:t>
      </w:r>
      <w:r>
        <w:rPr>
          <w:rFonts w:ascii="Times New Roman" w:hAnsi="Times New Roman"/>
          <w:sz w:val="28"/>
        </w:rPr>
        <w:t xml:space="preserve">О внесении изменений в приказ управления муниципального хозяйства администрации Петровского муниципального округа Ставропольского края от 07 декабря 2023 г. № </w:t>
      </w:r>
      <w:r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детального плана-графика </w:t>
      </w:r>
      <w:r>
        <w:rPr>
          <w:rFonts w:ascii="Times New Roman" w:hAnsi="Times New Roman"/>
          <w:sz w:val="28"/>
        </w:rPr>
        <w:t xml:space="preserve">реализации муниципальной программы </w:t>
      </w: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«</w:t>
      </w:r>
      <w:r>
        <w:rPr>
          <w:rFonts w:ascii="Times New Roman" w:hAnsi="Times New Roman"/>
          <w:sz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 2024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».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 за выполнением настоящего приказа оставляю за собой.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Настоящий приказ «</w:t>
      </w:r>
      <w:r>
        <w:rPr>
          <w:rFonts w:ascii="Times New Roman" w:hAnsi="Times New Roman"/>
          <w:sz w:val="28"/>
        </w:rPr>
        <w:t xml:space="preserve">О внесении изменений в детальный план-график </w:t>
      </w:r>
      <w:r>
        <w:rPr>
          <w:rFonts w:ascii="Times New Roman" w:hAnsi="Times New Roman"/>
          <w:sz w:val="28"/>
        </w:rPr>
        <w:t xml:space="preserve">реализации муниципальной программы </w:t>
      </w: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«</w:t>
      </w:r>
      <w:r>
        <w:rPr>
          <w:rFonts w:ascii="Times New Roman" w:hAnsi="Times New Roman"/>
          <w:sz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» вступает в силу со дня его подписания.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Временно исполняющий </w:t>
      </w:r>
    </w:p>
    <w:p w14:paraId="1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обязанности начальника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r>
        <w:rPr>
          <w:rFonts w:ascii="Times New Roman" w:hAnsi="Times New Roman"/>
          <w:sz w:val="28"/>
        </w:rPr>
        <w:t xml:space="preserve">муниципального </w:t>
      </w:r>
    </w:p>
    <w:p w14:paraId="1D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хозяйства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1E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>муниципального</w:t>
      </w:r>
    </w:p>
    <w:p w14:paraId="1F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 xml:space="preserve">Ставропольского края                                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А.А. Брянцев</w:t>
      </w:r>
    </w:p>
    <w:p w14:paraId="20000000">
      <w:pPr>
        <w:spacing w:after="0" w:line="240" w:lineRule="exact"/>
        <w:ind w:right="-59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spacing w:line="240" w:lineRule="exact"/>
        <w:ind w:firstLine="0" w:left="0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985" w:right="62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170" w:left="1870"/>
      </w:pPr>
    </w:lvl>
    <w:lvl w:ilvl="1">
      <w:start w:val="1"/>
      <w:numFmt w:val="lowerLetter"/>
      <w:lvlText w:val="%2."/>
      <w:lvlJc w:val="left"/>
      <w:pPr>
        <w:ind w:hanging="360" w:left="1780"/>
      </w:pPr>
    </w:lvl>
    <w:lvl w:ilvl="2">
      <w:start w:val="1"/>
      <w:numFmt w:val="lowerRoman"/>
      <w:lvlText w:val="%3."/>
      <w:lvlJc w:val="right"/>
      <w:pPr>
        <w:ind w:hanging="180" w:left="2500"/>
      </w:pPr>
    </w:lvl>
    <w:lvl w:ilvl="3">
      <w:start w:val="1"/>
      <w:numFmt w:val="decimal"/>
      <w:lvlText w:val="%4."/>
      <w:lvlJc w:val="left"/>
      <w:pPr>
        <w:ind w:hanging="360" w:left="3220"/>
      </w:pPr>
    </w:lvl>
    <w:lvl w:ilvl="4">
      <w:start w:val="1"/>
      <w:numFmt w:val="lowerLetter"/>
      <w:lvlText w:val="%5."/>
      <w:lvlJc w:val="left"/>
      <w:pPr>
        <w:ind w:hanging="360" w:left="3940"/>
      </w:pPr>
    </w:lvl>
    <w:lvl w:ilvl="5">
      <w:start w:val="1"/>
      <w:numFmt w:val="lowerRoman"/>
      <w:lvlText w:val="%6."/>
      <w:lvlJc w:val="right"/>
      <w:pPr>
        <w:ind w:hanging="180" w:left="4660"/>
      </w:pPr>
    </w:lvl>
    <w:lvl w:ilvl="6">
      <w:start w:val="1"/>
      <w:numFmt w:val="decimal"/>
      <w:lvlText w:val="%7."/>
      <w:lvlJc w:val="left"/>
      <w:pPr>
        <w:ind w:hanging="360" w:left="5380"/>
      </w:pPr>
    </w:lvl>
    <w:lvl w:ilvl="7">
      <w:start w:val="1"/>
      <w:numFmt w:val="lowerLetter"/>
      <w:lvlText w:val="%8."/>
      <w:lvlJc w:val="left"/>
      <w:pPr>
        <w:ind w:hanging="360" w:left="6100"/>
      </w:pPr>
    </w:lvl>
    <w:lvl w:ilvl="8">
      <w:start w:val="1"/>
      <w:numFmt w:val="lowerRoman"/>
      <w:lvlText w:val="%9."/>
      <w:lvlJc w:val="right"/>
      <w:pPr>
        <w:ind w:hanging="180" w:left="68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Emphasis"/>
    <w:link w:val="Style_5_ch"/>
    <w:rPr>
      <w:i w:val="1"/>
    </w:rPr>
  </w:style>
  <w:style w:styleId="Style_5_ch" w:type="character">
    <w:name w:val="Emphasis"/>
    <w:link w:val="Style_5"/>
    <w:rPr>
      <w:i w:val="1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No Spacing"/>
    <w:link w:val="Style_9_ch"/>
    <w:rPr>
      <w:sz w:val="22"/>
    </w:rPr>
  </w:style>
  <w:style w:styleId="Style_9_ch" w:type="character">
    <w:name w:val="No Spacing"/>
    <w:link w:val="Style_9"/>
    <w:rPr>
      <w:sz w:val="22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ConsNonformat"/>
    <w:link w:val="Style_13_ch"/>
    <w:pPr>
      <w:widowControl w:val="0"/>
      <w:ind w:right="19772"/>
    </w:pPr>
    <w:rPr>
      <w:rFonts w:ascii="Courier New" w:hAnsi="Courier New"/>
    </w:rPr>
  </w:style>
  <w:style w:styleId="Style_13_ch" w:type="character">
    <w:name w:val="ConsNonformat"/>
    <w:link w:val="Style_13"/>
    <w:rPr>
      <w:rFonts w:ascii="Courier New" w:hAnsi="Courier New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ntstyle13"/>
    <w:basedOn w:val="Style_16"/>
    <w:link w:val="Style_15_ch"/>
  </w:style>
  <w:style w:styleId="Style_15_ch" w:type="character">
    <w:name w:val="fontstyle13"/>
    <w:basedOn w:val="Style_16_ch"/>
    <w:link w:val="Style_15"/>
  </w:style>
  <w:style w:styleId="Style_17" w:type="paragraph">
    <w:name w:val="heading 5"/>
    <w:basedOn w:val="Style_4"/>
    <w:next w:val="Style_4"/>
    <w:link w:val="Style_17_ch"/>
    <w:uiPriority w:val="9"/>
    <w:qFormat/>
    <w:pPr>
      <w:keepNext w:val="1"/>
      <w:widowControl w:val="0"/>
      <w:spacing w:after="0" w:line="240" w:lineRule="auto"/>
      <w:ind/>
      <w:jc w:val="both"/>
      <w:outlineLvl w:val="4"/>
    </w:pPr>
    <w:rPr>
      <w:rFonts w:ascii="Times New Roman" w:hAnsi="Times New Roman"/>
      <w:sz w:val="28"/>
    </w:rPr>
  </w:style>
  <w:style w:styleId="Style_17_ch" w:type="character">
    <w:name w:val="heading 5"/>
    <w:basedOn w:val="Style_4_ch"/>
    <w:link w:val="Style_17"/>
    <w:rPr>
      <w:rFonts w:ascii="Times New Roman" w:hAnsi="Times New Roman"/>
      <w:sz w:val="28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Содержимое таблицы"/>
    <w:basedOn w:val="Style_4"/>
    <w:link w:val="Style_25_ch"/>
  </w:style>
  <w:style w:styleId="Style_25_ch" w:type="character">
    <w:name w:val="Содержимое таблицы"/>
    <w:basedOn w:val="Style_4_ch"/>
    <w:link w:val="Style_25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2025-01-20T12:29:45Z</dcterms:modified>
</cp:coreProperties>
</file>