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ДОПОЛНИТЕЛЬНЫЕ МАТЕРИАЛЫ,</w:t>
      </w:r>
    </w:p>
    <w:p>
      <w:pPr>
        <w:pStyle w:val="Normal"/>
        <w:widowControl w:val="false"/>
        <w:spacing w:lineRule="exact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предоставляемые с проектом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cs="Times New Roman" w:ascii="Times New Roman" w:hAnsi="Times New Roman"/>
          <w:sz w:val="28"/>
          <w:szCs w:val="28"/>
        </w:rPr>
        <w:t xml:space="preserve">«Модернизация экономики и улучшение инвестиционного климата» </w:t>
      </w:r>
    </w:p>
    <w:p>
      <w:pPr>
        <w:pStyle w:val="Normal"/>
        <w:widowControl w:val="false"/>
        <w:spacing w:lineRule="exact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Раздел 1. Общая характеристика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текущего состояния сферы реализации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муниципальной программы,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том числе формулировка основных проблем в указанной сфере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Ведущее место в экономике Петровского городского округа Ставропольского края (далее - округ)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>за 6 месяцев</w:t>
      </w:r>
      <w:r>
        <w:rPr>
          <w:rFonts w:cs="Times New Roman" w:ascii="Times New Roman" w:hAnsi="Times New Roman"/>
          <w:bCs/>
          <w:sz w:val="28"/>
          <w:szCs w:val="28"/>
        </w:rPr>
        <w:t xml:space="preserve"> 20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>20</w:t>
      </w:r>
      <w:r>
        <w:rPr>
          <w:rFonts w:cs="Times New Roman" w:ascii="Times New Roman" w:hAnsi="Times New Roman"/>
          <w:bCs/>
          <w:sz w:val="28"/>
          <w:szCs w:val="28"/>
        </w:rPr>
        <w:t xml:space="preserve"> года остается за промышленностью и сельским хозяйством, на долю которых приходится около 8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>0</w:t>
      </w:r>
      <w:r>
        <w:rPr>
          <w:rFonts w:cs="Times New Roman" w:ascii="Times New Roman" w:hAnsi="Times New Roman"/>
          <w:bCs/>
          <w:sz w:val="28"/>
          <w:szCs w:val="28"/>
        </w:rPr>
        <w:t>,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>9</w:t>
      </w:r>
      <w:r>
        <w:rPr>
          <w:rFonts w:cs="Times New Roman" w:ascii="Times New Roman" w:hAnsi="Times New Roman"/>
          <w:bCs/>
          <w:sz w:val="28"/>
          <w:szCs w:val="28"/>
        </w:rPr>
        <w:t xml:space="preserve"> % оборота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(в аналогичном периоде 2019 года 80,3%).</w:t>
      </w:r>
      <w:r>
        <w:rPr>
          <w:rFonts w:cs="Times New Roman" w:ascii="Times New Roman" w:hAnsi="Times New Roman"/>
          <w:bCs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По статистическим данным оборот крупных и средних предприятий, отражающий их коммерческую деятельность, за январь – июнь 2020 года составил 5137,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9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 xml:space="preserve"> млн. рублей при темпе роста 114,6% к показателю аналогичного периода 2019 года. 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 крупных и средних предприятий (далее – товаров собственного производства) в отчетном периоде составил 3500,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5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 xml:space="preserve"> млн. рублей при темпе роста 10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5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9</w:t>
      </w:r>
      <w:bookmarkStart w:id="0" w:name="_Hlk519663658"/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% к показателю за январь-июнь 2019 года</w:t>
      </w:r>
      <w:bookmarkEnd w:id="0"/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eastAsia="Lucida Sans Unicode" w:cs="Tahoma" w:ascii="Times New Roman" w:hAnsi="Times New Roman"/>
          <w:b w:val="false"/>
          <w:bCs w:val="false"/>
          <w:sz w:val="28"/>
          <w:szCs w:val="28"/>
          <w:lang w:eastAsia="ru-RU"/>
        </w:rPr>
        <w:t>По промышленным видам деятельности</w:t>
      </w:r>
      <w:r>
        <w:rPr>
          <w:rFonts w:eastAsia="Lucida Sans Unicode" w:cs="Tahoma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eastAsia="ru-RU"/>
        </w:rPr>
        <w:t>отмечается увеличение объемов отгруженных товаров собственного производства с 2859,6 млн. рублей в первом полугодии 201</w:t>
      </w:r>
      <w:r>
        <w:rPr>
          <w:rFonts w:eastAsia="Lucida Sans Unicode" w:cs="Tahoma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9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eastAsia="ru-RU"/>
        </w:rPr>
        <w:t xml:space="preserve"> года до </w:t>
      </w:r>
      <w:r>
        <w:rPr>
          <w:rFonts w:eastAsia="Lucida Sans Unicode" w:cs="Tahoma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3060,1 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eastAsia="ru-RU"/>
        </w:rPr>
        <w:t>млн. рублей в отчетном периоде. Темп роста производства промышленной продукции 1</w:t>
      </w:r>
      <w:r>
        <w:rPr>
          <w:rFonts w:eastAsia="Lucida Sans Unicode" w:cs="Tahoma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07,0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eastAsia="ru-RU"/>
        </w:rPr>
        <w:t xml:space="preserve">%. 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 xml:space="preserve">На долю обрабатывающих производств в объеме отгруженных товаров собственного производства промышленных предприятий приходится 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57,0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% (в первом полугодии 201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9 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года - 56,8%). Объем продукции, отгруженной обрабатывающими предприятиями, в отчетном периоде увеличился до 1743,0 млн. рублей при темпе роста 1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>07,3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 xml:space="preserve">% к показателю прошлого года (среднекраевое значение - 97,4%). Наиболее динамично в отчетном периоде развивалось производство пищевых продуктов, где рост составил 115,5% к показателю </w:t>
      </w:r>
      <w:r>
        <w:rPr>
          <w:rFonts w:eastAsia="Lucida Sans Unicode" w:cs="Tahoma" w:ascii="Times New Roman" w:hAnsi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1 </w:t>
      </w:r>
      <w:r>
        <w:rPr>
          <w:rFonts w:eastAsia="Lucida Sans Unicode" w:cs="Tahoma" w:ascii="Times New Roman" w:hAnsi="Times New Roman"/>
          <w:bCs/>
          <w:color w:val="000000"/>
          <w:sz w:val="28"/>
          <w:szCs w:val="28"/>
          <w:lang w:eastAsia="ru-RU"/>
        </w:rPr>
        <w:t>полугодия 2019 года.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Lucida Sans Unicode" w:cs="Tahoma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Lucida Sans Unicode" w:cs="Tahoma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В округе успешно реализуется национальный проект «Производительность труда и поддержка занятости», так ОАО «Светлоградагромаш» в сентябре 2019 года стало участником данного проекта. За время участия в проекте на предприятии реорганизована работа участка производства лемехов, переоборудован и оптимизирован процесс производства, закуплено новое оборудование, на 33% сокращено время изготовления деталей. Мероприятия проекта реализуются при поддержке Федерального Центра Компетенций.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По данным мониторинга инвестиционной деятельности объем инвестиций в основной капитал за первое полугодие 2020 года по полному кругу хозяйствующих субъектов составил 35</w:t>
      </w:r>
      <w:r>
        <w:rPr>
          <w:rFonts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8,1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млн. рублей. Объем инвестиций крупных и средних предприятий </w:t>
      </w:r>
      <w:r>
        <w:rPr>
          <w:rFonts w:cs="Times New Roman" w:ascii="Times New Roman" w:hAnsi="Times New Roman"/>
          <w:color w:val="000000"/>
          <w:sz w:val="28"/>
          <w:szCs w:val="28"/>
        </w:rPr>
        <w:t>160,0 млн. рублей.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Style w:val="Style18"/>
          <w:rFonts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территории округа реализуются 1</w:t>
      </w:r>
      <w:r>
        <w:rPr>
          <w:rFonts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5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инвестиционных проектов с сопровождением по принципу «одного окна». </w:t>
      </w:r>
      <w:r>
        <w:rPr>
          <w:rStyle w:val="Style18"/>
          <w:rFonts w:ascii="Times New Roman" w:hAnsi="Times New Roman"/>
          <w:color w:val="000000"/>
          <w:sz w:val="28"/>
          <w:szCs w:val="28"/>
          <w:lang w:eastAsia="ru-RU"/>
        </w:rPr>
        <w:t>В мае 2020 года начата реализация инвестиционного проекта «Добыча песчаников на участке №2 «Северный» месторождения «СВИНАЯ БАЛКА»». В рамках подготовки к реализации инвестиционного проекта по строительству МАСЗ ООО «Лукойл-Югнефтепродукт» оказана консультационная и информационная поддержка, утверждена схема расположения земельного участка на кадастровом плане территории.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Объем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розничного товарооборота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(через все каналы реализации) в отчетном периоде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снизился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до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1439,9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млн. рублей, оборот общественного питания до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31,3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млн. рублей, темп роста к аналогичному периоду прошлого года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94,9%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62,0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% соответственно. Причинами снижения показателей является приостановка работы объектов общественного питания, большей части объектов розничной торговли и розничного рынка в связи с распространением новой корон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а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вирусной инфекции на территории Российской Федерации. 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состоянию на 01 июля отчетного года на территории округа осуществляли деятельность </w:t>
      </w:r>
      <w:r>
        <w:rPr>
          <w:rFonts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2338 </w:t>
      </w:r>
      <w:r>
        <w:rPr>
          <w:rFonts w:ascii="Times New Roman" w:hAnsi="Times New Roman"/>
          <w:color w:val="000000"/>
          <w:sz w:val="28"/>
          <w:szCs w:val="28"/>
        </w:rPr>
        <w:t xml:space="preserve">хозяйствующих субъектов, в том числе </w:t>
      </w:r>
      <w:r>
        <w:rPr>
          <w:rFonts w:ascii="Times New Roman" w:hAnsi="Times New Roman"/>
          <w:color w:val="000000"/>
          <w:kern w:val="0"/>
          <w:sz w:val="28"/>
          <w:szCs w:val="28"/>
          <w:lang w:val="ru-RU" w:eastAsia="ru-RU" w:bidi="ar-SA"/>
        </w:rPr>
        <w:t>2087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субъектов малого и среднего бизнеса (далее — субъектов МСП), из них 1</w:t>
      </w:r>
      <w:r>
        <w:rPr>
          <w:rFonts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 xml:space="preserve">865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индивидуальных предпринимателей (</w:t>
      </w:r>
      <w:r>
        <w:rPr>
          <w:rFonts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79,0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% от</w:t>
      </w:r>
      <w:r>
        <w:rPr>
          <w:rFonts w:ascii="Times New Roman" w:hAnsi="Times New Roman"/>
          <w:color w:val="000000"/>
          <w:sz w:val="28"/>
          <w:szCs w:val="28"/>
        </w:rPr>
        <w:t xml:space="preserve"> общего числа) и 2</w:t>
      </w:r>
      <w:r>
        <w:rPr>
          <w:rFonts w:ascii="Times New Roman" w:hAnsi="Times New Roman"/>
          <w:color w:val="000000"/>
          <w:kern w:val="0"/>
          <w:sz w:val="28"/>
          <w:szCs w:val="28"/>
          <w:lang w:val="ru-RU" w:eastAsia="ru-RU" w:bidi="ar-SA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юридических лица.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bookmarkStart w:id="1" w:name="_Hlk528677365"/>
      <w:bookmarkEnd w:id="1"/>
      <w:r>
        <w:rPr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В отчетном периоде государственная поддержка за счет средств бюджета Ставропольского края оказана 5 субъектам МСП, осуществляющим свою деятельность на территории округа. Микрозаймы НМО «Фонд микрофинансирования субъектов малого и среднего предпринимательства в Ставропольском крае» предоставлены 4 субъектам МСП на общую сумму 4420,0 тыс. рублей. ГУП СК «Гарантийный фонд поддержки субъектов малого и среднего предпринимательства в Ставропольском крае» предоставлено 1 поручительство на сумму 12132,8 тыс. рублей. Фондом поддержки предпринимательства в Ставропольском крае 36 предпринимателям была оказана консультационная поддержка. 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В целях реализации регионального проекта «Популяризация предпринимательства» на официальном сайте администрации проводится размещение актуальной информации об особенностях режима для занятых в сфере МСП, включая индивидуальных предпринимателей. </w:t>
      </w:r>
    </w:p>
    <w:p>
      <w:pPr>
        <w:pStyle w:val="Normal"/>
        <w:spacing w:lineRule="auto" w:line="240" w:before="0" w:after="0"/>
        <w:ind w:left="0" w:right="0" w:firstLine="708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В отчетном периоде н</w:t>
      </w:r>
      <w:r>
        <w:rPr>
          <w:rStyle w:val="Style18"/>
          <w:rFonts w:eastAsia="Cambria" w:cs="Times New Roman" w:ascii="Times New Roman" w:hAnsi="Times New Roman"/>
          <w:i w:val="false"/>
          <w:iCs w:val="false"/>
          <w:color w:val="050505"/>
          <w:sz w:val="24"/>
          <w:szCs w:val="24"/>
          <w:lang w:eastAsia="ru-RU"/>
        </w:rPr>
        <w:t>а  территории округа проведено 7</w:t>
      </w:r>
      <w:r>
        <w:rPr>
          <w:rStyle w:val="Style18"/>
          <w:rFonts w:eastAsia="Cambria" w:cs="Times New Roman" w:ascii="Times New Roman" w:hAnsi="Times New Roman"/>
          <w:i w:val="false"/>
          <w:iCs w:val="false"/>
          <w:color w:val="050505"/>
          <w:sz w:val="24"/>
          <w:szCs w:val="24"/>
          <w:lang w:val="ru-RU" w:eastAsia="ru-RU"/>
        </w:rPr>
        <w:t>6</w:t>
      </w:r>
      <w:r>
        <w:rPr>
          <w:rStyle w:val="Style18"/>
          <w:rFonts w:eastAsia="Cambria" w:cs="Times New Roman" w:ascii="Times New Roman" w:hAnsi="Times New Roman"/>
          <w:i w:val="false"/>
          <w:iCs w:val="false"/>
          <w:color w:val="050505"/>
          <w:sz w:val="24"/>
          <w:szCs w:val="24"/>
          <w:lang w:eastAsia="ru-RU"/>
        </w:rPr>
        <w:t xml:space="preserve"> ярмарок, количество ярмарочных дней составило 359 ед.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Раздел 2. Обоснование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>Муниципальная программа Петровского городского округа Ставропольского края «Модернизация экономики и улучшение инвестиционного климата» (далее - Программа) предусматривает реализацию 1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основных мероприятий, направленных на достижение поставленных целей. Финансовое обеспечение требуется для реализации 5 основных мероприятий подпрограмм Программы. 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Объем финансового обеспечения Программы составит 7 716,00 тысяч рублей, в том числе по источникам финансового обеспечения: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бюджет Ставропольского края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рублей, в том числе по годам: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2021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2022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2023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2024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2025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2026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бюджет Петровского городского округа Ставропольского края (далее - бюджет округа) 2 460,00 </w:t>
      </w:r>
      <w:r>
        <w:rPr>
          <w:rFonts w:ascii="Times New Roman" w:hAnsi="Times New Roman"/>
          <w:color w:val="000000"/>
          <w:sz w:val="28"/>
          <w:szCs w:val="28"/>
        </w:rPr>
        <w:t>тысяч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рублей, в том числе по годам: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 - 410,00 тысяч 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- 410,00 тысяч рублей,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- 410,00 тысяч 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- 410,00 тысяч 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- 410,00 тысяч 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- 410,00 тысяч рублей;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налоговые расходы бюджета округа - 0,00 тысяч рублей,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в том числе по годам: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2021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2022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2023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2024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2025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2026 год - 0,00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</w:t>
      </w:r>
      <w:r>
        <w:rPr>
          <w:rFonts w:cs="Times New Roman" w:ascii="Times New Roman" w:hAnsi="Times New Roman"/>
          <w:color w:val="000000"/>
          <w:sz w:val="28"/>
          <w:szCs w:val="28"/>
        </w:rPr>
        <w:t>рублей;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участников Программы 5 256,00 тысяч  рублей, в том числе по годам: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 - 850,00 тысяч рублей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- 858,00 тысяч рублей;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- 866,00 тысяч рублей;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- 873,00 тысяч рублей;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- 884,00 тысяч рублей;</w:t>
      </w:r>
    </w:p>
    <w:p>
      <w:pPr>
        <w:pStyle w:val="Normal"/>
        <w:tabs>
          <w:tab w:val="clear" w:pos="408"/>
          <w:tab w:val="left" w:pos="5698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- 925,00 тысяч рублей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Обоснование планируемых объемов ресурсов на реализацию Программы приведено в Приложении 1.</w:t>
      </w:r>
    </w:p>
    <w:p>
      <w:pPr>
        <w:pStyle w:val="NoSpacing"/>
        <w:ind w:left="0" w:right="0" w:firstLine="708"/>
        <w:jc w:val="both"/>
        <w:rPr>
          <w:rFonts w:ascii="Times New Roman" w:hAnsi="Times New Roman"/>
          <w:color w:val="000000"/>
          <w:szCs w:val="28"/>
        </w:rPr>
      </w:pPr>
      <w:r>
        <w:rPr>
          <w:color w:val="000000"/>
          <w:szCs w:val="28"/>
        </w:rPr>
        <w:t>Поддержка инновационной деятельности за счет бюджета округа в рамках реализации Программы не предусмотрена.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Раздел 3.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Сведения об основных мерах правового регулирования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сфере реализации муниципальной программы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Cambria" w:cs="Times New Roman"/>
          <w:color w:val="000000"/>
          <w:sz w:val="28"/>
          <w:szCs w:val="28"/>
        </w:rPr>
      </w:pPr>
      <w:r>
        <w:rPr>
          <w:rFonts w:eastAsia="Cambria" w:cs="Times New Roman" w:ascii="Times New Roman" w:hAnsi="Times New Roman"/>
          <w:color w:val="000000"/>
          <w:sz w:val="28"/>
          <w:szCs w:val="28"/>
        </w:rPr>
        <w:t>К мерам муниципального регулирования в сфере реализации Программы относится: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Cambria" w:cs="Times New Roman"/>
          <w:color w:val="000000"/>
          <w:sz w:val="28"/>
          <w:szCs w:val="28"/>
        </w:rPr>
      </w:pPr>
      <w:r>
        <w:rPr>
          <w:rFonts w:eastAsia="Cambria" w:cs="Times New Roman" w:ascii="Times New Roman" w:hAnsi="Times New Roman"/>
          <w:color w:val="000000"/>
          <w:sz w:val="28"/>
          <w:szCs w:val="28"/>
        </w:rPr>
        <w:t>- предоставление мер муниципальной поддержки субъектам инвестиционной деятельности в рамках реализации Стандарта деятельности органов местного самоуправления по обеспечению благоприятного инвестиционного климата.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Cambria" w:cs="Times New Roman"/>
          <w:color w:val="000000"/>
          <w:sz w:val="28"/>
          <w:szCs w:val="28"/>
        </w:rPr>
      </w:pPr>
      <w:r>
        <w:rPr>
          <w:rFonts w:eastAsia="Cambria" w:cs="Times New Roman" w:ascii="Times New Roman" w:hAnsi="Times New Roman"/>
          <w:color w:val="000000"/>
          <w:sz w:val="28"/>
          <w:szCs w:val="28"/>
        </w:rPr>
        <w:t>- финансовая поддержка субъектов малого и среднего предпринимательства.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hyperlink w:anchor="Par2536">
        <w:r>
          <w:rPr>
            <w:rStyle w:val="Style14"/>
            <w:rFonts w:cs="Times New Roman" w:ascii="Times New Roman" w:hAnsi="Times New Roman"/>
            <w:color w:val="000000"/>
            <w:sz w:val="28"/>
            <w:szCs w:val="28"/>
            <w:u w:val="none"/>
          </w:rPr>
          <w:t>Сведения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об основных мерах правового регулирования в сфере реализации Программы приведены в Приложении 2.</w:t>
      </w:r>
    </w:p>
    <w:p>
      <w:pPr>
        <w:pStyle w:val="Normal"/>
        <w:widowControl w:val="false"/>
        <w:spacing w:lineRule="exact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4. Сведения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 источнике информации и методике расчета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индикаторов достижения целей </w:t>
      </w:r>
      <w:r>
        <w:rPr>
          <w:rFonts w:cs="Times New Roman" w:ascii="Times New Roman" w:hAnsi="Times New Roman"/>
          <w:color w:val="000000"/>
          <w:sz w:val="28"/>
          <w:szCs w:val="28"/>
        </w:rPr>
        <w:t>муниципальной программы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показателей решения задач подпрограмм </w:t>
      </w:r>
      <w:r>
        <w:rPr>
          <w:rFonts w:cs="Times New Roman" w:ascii="Times New Roman" w:hAnsi="Times New Roman"/>
          <w:color w:val="000000"/>
          <w:sz w:val="28"/>
          <w:szCs w:val="28"/>
        </w:rPr>
        <w:t>муниципальной программы</w:t>
      </w:r>
    </w:p>
    <w:p>
      <w:pPr>
        <w:pStyle w:val="ConsPlusNormal"/>
        <w:spacing w:lineRule="exact" w:line="240"/>
        <w:ind w:left="0" w:right="0" w:firstLine="540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ConsPlusNormal"/>
        <w:ind w:left="0" w:right="0" w:firstLine="540"/>
        <w:jc w:val="both"/>
        <w:rPr/>
      </w:pPr>
      <w:hyperlink w:anchor="P1307">
        <w:r>
          <w:rPr>
            <w:rStyle w:val="ListLabel2"/>
            <w:color w:val="000000"/>
          </w:rPr>
          <w:t>Сведения</w:t>
        </w:r>
      </w:hyperlink>
      <w:r>
        <w:rPr>
          <w:color w:val="000000"/>
        </w:rPr>
        <w:t xml:space="preserve"> о формах государственного (федерального) статистического наблюдения, о методиках расчета значений индикаторов достижения целей Программы и показателей решения задач подпрограмм Программы представлены в Приложении 3. </w:t>
      </w:r>
    </w:p>
    <w:p>
      <w:pPr>
        <w:pStyle w:val="ConsPlusNormal"/>
        <w:spacing w:lineRule="exact" w:line="240"/>
        <w:ind w:left="0" w:right="0" w:firstLine="539"/>
        <w:jc w:val="both"/>
        <w:rPr>
          <w:rFonts w:ascii="Times New Roman" w:hAnsi="Times New Roman"/>
          <w:color w:val="C9211E"/>
        </w:rPr>
      </w:pPr>
      <w:r>
        <w:rPr>
          <w:color w:val="C9211E"/>
        </w:rPr>
      </w:r>
    </w:p>
    <w:p>
      <w:pPr>
        <w:pStyle w:val="ConsPlusNormal"/>
        <w:ind w:left="0" w:right="0" w:firstLine="539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  <w:t>Раздел 5. Основные параметры потребности в трудовых ресурсах для реализации муниципальной программы</w:t>
      </w:r>
    </w:p>
    <w:p>
      <w:pPr>
        <w:pStyle w:val="ConsPlusNormal"/>
        <w:spacing w:lineRule="exact" w:line="240"/>
        <w:ind w:left="0" w:right="0" w:firstLine="539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 xml:space="preserve">Для реализации Программы достаточно штатной численности ответственного исполнителя и соисполнителей муниципальной программы. 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Необходимость в привлечении специалистов инженерно-технических специальностей для реализации Программы отсутствует.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Начальник стратегического планирования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и инвестиций администрации 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Петровского городского округа </w:t>
      </w:r>
    </w:p>
    <w:p>
      <w:pPr>
        <w:sectPr>
          <w:type w:val="nextPage"/>
          <w:pgSz w:w="11906" w:h="16838"/>
          <w:pgMar w:left="1985" w:right="624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Ставропольского края                                                                   Л.В. Кириленко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Приложение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ОБОСНОВАНИЕ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планируемых объемов ресурсов на реализацию муниципальной программы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tbl>
      <w:tblPr>
        <w:tblW w:w="15026" w:type="dxa"/>
        <w:jc w:val="left"/>
        <w:tblInd w:w="62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706"/>
        <w:gridCol w:w="3251"/>
        <w:gridCol w:w="7228"/>
        <w:gridCol w:w="141"/>
        <w:gridCol w:w="3699"/>
      </w:tblGrid>
      <w:tr>
        <w:trPr>
          <w:trHeight w:val="135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Объемы средств бюджета Петровского муниципального района Ставропольского края (далее - районный бюджет)  </w:t>
            </w:r>
          </w:p>
        </w:tc>
      </w:tr>
      <w:tr>
        <w:trPr>
          <w:trHeight w:val="111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516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mbria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eastAsia="Cambria" w:cs="Calibri" w:ascii="Times New Roman" w:hAnsi="Times New Roman"/>
                <w:b/>
                <w:color w:val="000000"/>
                <w:sz w:val="24"/>
                <w:szCs w:val="24"/>
                <w:lang w:eastAsia="ar-SA"/>
              </w:rPr>
              <w:t>«Поддержка и развитие малого и среднего предпринимательства»</w:t>
            </w:r>
          </w:p>
        </w:tc>
      </w:tr>
      <w:tr>
        <w:trPr>
          <w:trHeight w:val="1118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onsPlusNormal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Cambria" w:cs="Times New Roman"/>
                <w:color w:val="000000"/>
                <w:sz w:val="24"/>
                <w:szCs w:val="24"/>
                <w:lang w:eastAsia="ar-SA"/>
              </w:rPr>
              <w:t>Организация работы по мониторингу и сопровождению инвестиционных проектов, реализуемых на территории округа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Default"/>
              <w:ind w:left="0" w:right="0" w:firstLine="709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В рамках данного основного мероприятия предполагается:</w:t>
            </w:r>
          </w:p>
          <w:p>
            <w:pPr>
              <w:pStyle w:val="Default"/>
              <w:ind w:left="0" w:right="0" w:firstLine="709"/>
              <w:jc w:val="both"/>
              <w:rPr>
                <w:rFonts w:ascii="Times New Roman" w:hAnsi="Times New Roman" w:eastAsia="Cambria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</w:rPr>
              <w:t>проведение мониторинга предполагаемых инвестиционных вложений и инвестиционных проектов, реализуемых на территории округа;</w:t>
            </w:r>
          </w:p>
          <w:p>
            <w:pPr>
              <w:pStyle w:val="Normal"/>
              <w:spacing w:lineRule="auto" w:line="240" w:before="0" w:after="0"/>
              <w:ind w:left="0" w:right="0" w:firstLine="708"/>
              <w:jc w:val="both"/>
              <w:rPr>
                <w:rFonts w:ascii="Times New Roman" w:hAnsi="Times New Roman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Совета по улучшению инвестиционного климата в Петровском городском округе Ставропольского края;</w:t>
            </w:r>
          </w:p>
          <w:p>
            <w:pPr>
              <w:pStyle w:val="Normal"/>
              <w:spacing w:lineRule="auto" w:line="240" w:before="0" w:after="0"/>
              <w:ind w:left="0" w:right="0" w:firstLine="708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сокращение сроков прохождения административных процедур в сферах деятельности органов местного самоуправления округа;</w:t>
            </w:r>
          </w:p>
          <w:p>
            <w:pPr>
              <w:pStyle w:val="Normal"/>
              <w:spacing w:lineRule="auto" w:line="240" w:before="0" w:after="0"/>
              <w:ind w:left="0" w:right="0" w:firstLine="708"/>
              <w:jc w:val="both"/>
              <w:rPr>
                <w:rFonts w:ascii="Times New Roman" w:hAnsi="Times New Roman" w:eastAsia="Cambria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</w:rPr>
              <w:t>реализация  инвестиционных проектов на территории округа.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</w:rPr>
              <w:t>За счет средств участников Программы предусмотрено финансирование инвестиционных проектов на 20</w:t>
            </w: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Cambria"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годы в размере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5 256,00 тысяч  рублей</w:t>
            </w: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 год - 850,00 тысяч рублей</w:t>
            </w:r>
          </w:p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 - 858,00 тысяч рублей;</w:t>
            </w:r>
          </w:p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 - 866,00 тысяч рублей;</w:t>
            </w:r>
          </w:p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 - 873,00 тысяч рублей;</w:t>
            </w:r>
          </w:p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 - 884,00 тысяч рублей;</w:t>
            </w:r>
          </w:p>
          <w:p>
            <w:pPr>
              <w:pStyle w:val="Normal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2026 год - 925,00 тысяч рублей</w:t>
            </w:r>
          </w:p>
        </w:tc>
      </w:tr>
      <w:tr>
        <w:trPr>
          <w:trHeight w:val="1118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mbria" w:cs="Calibri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Cambria" w:cs="Calibri" w:ascii="Times New Roman" w:hAnsi="Times New Roman"/>
                <w:color w:val="000000"/>
                <w:sz w:val="24"/>
                <w:szCs w:val="24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 направлено на увеличение количества субъектов МСП в округе, увеличение объемов производства производимых товаров, работ (услуг).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 финансирование данного мероприятия в бюджете округа на 20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годы предусмотрены средства в размере 1200,0 тыс. рублей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ежегодно в период с 20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года по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год включительно 200,0 тыс. рублей </w:t>
            </w:r>
          </w:p>
        </w:tc>
      </w:tr>
      <w:tr>
        <w:trPr>
          <w:trHeight w:val="1118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Реализация регионального проекта «Популяризация предпринимательства»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данного основного мероприятия подпрограммы предполагается:</w:t>
            </w:r>
          </w:p>
          <w:p>
            <w:pPr>
              <w:pStyle w:val="Normal"/>
              <w:spacing w:lineRule="auto" w:line="240" w:before="0" w:after="0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sz w:val="24"/>
                <w:szCs w:val="24"/>
                <w:lang w:eastAsia="ar-SA"/>
              </w:rPr>
              <w:t>- размещение на официальном сайте администрации  информации:</w:t>
            </w:r>
          </w:p>
          <w:p>
            <w:pPr>
              <w:pStyle w:val="Normal"/>
              <w:spacing w:lineRule="auto" w:line="240" w:before="0" w:after="0"/>
              <w:ind w:left="0" w:right="0" w:firstLine="567"/>
              <w:jc w:val="both"/>
              <w:rPr>
                <w:rFonts w:ascii="Times New Roman" w:hAnsi="Times New Roman" w:eastAsia="Cambria" w:cs="Times New Roman"/>
                <w:sz w:val="24"/>
                <w:szCs w:val="24"/>
                <w:lang w:eastAsia="ar-SA"/>
              </w:rPr>
            </w:pPr>
            <w:r>
              <w:rPr>
                <w:rFonts w:eastAsia="Cambria" w:cs="Times New Roman" w:ascii="Times New Roman" w:hAnsi="Times New Roman"/>
                <w:sz w:val="24"/>
                <w:szCs w:val="24"/>
                <w:lang w:eastAsia="ar-SA"/>
              </w:rPr>
              <w:t>об особенностях режима для занятых в сфере МСП, включая индивидуальных предпринимателей;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 w:eastAsia="Cambria" w:cs="Times New Roman"/>
                <w:sz w:val="24"/>
                <w:szCs w:val="24"/>
                <w:lang w:eastAsia="ar-SA"/>
              </w:rPr>
            </w:pPr>
            <w:r>
              <w:rPr>
                <w:rFonts w:eastAsia="Cambria" w:cs="Times New Roman"/>
                <w:sz w:val="24"/>
                <w:szCs w:val="24"/>
                <w:lang w:eastAsia="ar-SA"/>
              </w:rPr>
              <w:t>освещающей развитие пищевой и перерабатывающей промышленности, торгового и бытового обслуживания населения округа.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Популяризация предпринимательской деятельности в округе в рамках организации и проведения: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ежегодного окружного конкурса «Предприниматель года»,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торжественного мероприятия, посвященного профессиональному празднику «День российского предпринимательства»,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фестиваля «Праздник хлеба»,</w:t>
            </w:r>
          </w:p>
          <w:p>
            <w:pPr>
              <w:pStyle w:val="ConsPlusNormal"/>
              <w:ind w:left="0"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mbria" w:cs="Times New Roman"/>
                <w:color w:val="000000"/>
                <w:sz w:val="24"/>
                <w:szCs w:val="24"/>
              </w:rPr>
              <w:t xml:space="preserve">совещаний, семинаров, «круглых столов», конференций с участием в них руководителей и специалистов организаций, образующих инфраструктуру поддержки субъектов МСП в Ставропольском крае, в том числе в рамках координационного совета </w:t>
            </w:r>
            <w:r>
              <w:rPr>
                <w:rFonts w:eastAsia="Cambria" w:cs="Times New Roman"/>
                <w:color w:val="000000"/>
                <w:sz w:val="24"/>
                <w:szCs w:val="24"/>
                <w:highlight w:val="white"/>
              </w:rPr>
              <w:t>по развитию малого и среднего предпринимательства в Петровском городском округе Ставропольского края</w:t>
            </w:r>
            <w:r>
              <w:rPr>
                <w:rFonts w:eastAsia="Cambria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 финансирование данного мероприятия на 20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годы необходимо направить из бюджета округа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1 260,00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тыс. рублей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C9211E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C9211E"/>
                <w:sz w:val="24"/>
                <w:szCs w:val="24"/>
              </w:rPr>
            </w: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408"/>
                <w:tab w:val="left" w:pos="569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ежегодно в период с 20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года по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год включительно 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0,0 тыс. рублей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Приложение 2</w:t>
      </w:r>
    </w:p>
    <w:p>
      <w:pPr>
        <w:pStyle w:val="ConsPlusNormal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  <w:t>СВЕДЕНИЯ</w:t>
      </w:r>
    </w:p>
    <w:p>
      <w:pPr>
        <w:pStyle w:val="ConsPlusNormal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  <w:t>об основных мерах правового регулирования в сфере реализации муниципальной программы</w:t>
      </w:r>
    </w:p>
    <w:p>
      <w:pPr>
        <w:pStyle w:val="ConsPlusNormal"/>
        <w:rPr>
          <w:rFonts w:ascii="Times New Roman" w:hAnsi="Times New Roman"/>
          <w:color w:val="000000"/>
        </w:rPr>
      </w:pPr>
      <w:r>
        <w:rPr>
          <w:color w:val="000000"/>
        </w:rPr>
      </w:r>
    </w:p>
    <w:tbl>
      <w:tblPr>
        <w:tblW w:w="15026" w:type="dxa"/>
        <w:jc w:val="left"/>
        <w:tblInd w:w="62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486"/>
        <w:gridCol w:w="2550"/>
        <w:gridCol w:w="5014"/>
        <w:gridCol w:w="2755"/>
        <w:gridCol w:w="4221"/>
      </w:tblGrid>
      <w:tr>
        <w:trPr/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>
        <w:trPr>
          <w:trHeight w:val="28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28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eastAsia="Cambria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mbria"/>
                <w:b/>
                <w:color w:val="000000"/>
                <w:sz w:val="24"/>
                <w:szCs w:val="24"/>
              </w:rPr>
              <w:t>Подпрограмма «Формирование благоприятного инвестиционного климата»</w:t>
            </w:r>
          </w:p>
        </w:tc>
      </w:tr>
      <w:tr>
        <w:trPr>
          <w:trHeight w:val="28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Заключение договора аренды земельных участков, находящихся в собственности Петровского городского округа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eastAsia="Cambria"/>
                <w:color w:val="000000"/>
                <w:sz w:val="24"/>
                <w:szCs w:val="24"/>
              </w:rPr>
            </w:pPr>
            <w:r>
              <w:rPr>
                <w:rFonts w:eastAsia="Cambria"/>
                <w:color w:val="000000"/>
                <w:sz w:val="24"/>
                <w:szCs w:val="24"/>
              </w:rPr>
              <w:t xml:space="preserve">отдел имущественных и земельных отношений администрации Петровского городского округа Ставропольского края (далее - отдел имущественных отношений) 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программы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(при </w:t>
            </w:r>
            <w:r>
              <w:rPr>
                <w:color w:val="000000"/>
                <w:spacing w:val="-5"/>
                <w:sz w:val="24"/>
                <w:szCs w:val="24"/>
              </w:rPr>
              <w:t>обращении инвестора о необходимости предоставления мер муниципальной поддержки инвестиционной деятельности)</w:t>
            </w:r>
          </w:p>
        </w:tc>
      </w:tr>
      <w:tr>
        <w:trPr>
          <w:trHeight w:val="28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eastAsia="Cambria"/>
                <w:bCs/>
                <w:color w:val="000000"/>
                <w:sz w:val="24"/>
                <w:szCs w:val="24"/>
              </w:rPr>
            </w:pPr>
            <w:r>
              <w:rPr>
                <w:rFonts w:eastAsia="Cambria"/>
                <w:bCs/>
                <w:color w:val="000000"/>
                <w:sz w:val="24"/>
                <w:szCs w:val="24"/>
              </w:rPr>
              <w:t>Решение совета Депутатов Петровского городского округа Ставропольского края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>Актуализация Положения об инвестиционной деятельности на территории Петровского городского округа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eastAsia="Cambria"/>
                <w:color w:val="000000"/>
                <w:sz w:val="24"/>
                <w:szCs w:val="24"/>
              </w:rPr>
            </w:pPr>
            <w:r>
              <w:rPr>
                <w:rFonts w:eastAsia="Cambria"/>
                <w:color w:val="000000"/>
                <w:sz w:val="24"/>
                <w:szCs w:val="24"/>
              </w:rPr>
              <w:t>отдел стратегического планирования и инвестиций администрации Петровского городского округа Ставропольского края (далее - отдел стратегического планирования)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lang w:val="ru-RU"/>
              </w:rPr>
              <w:t>(при необходимости)</w:t>
            </w:r>
          </w:p>
        </w:tc>
      </w:tr>
      <w:tr>
        <w:trPr>
          <w:trHeight w:val="28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eastAsia="Cambria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mbria"/>
                <w:b/>
                <w:color w:val="000000"/>
                <w:sz w:val="24"/>
                <w:szCs w:val="24"/>
              </w:rPr>
              <w:t>Подпрограмма «Поддержка и развитие малого и среднего предпринимательства»</w:t>
            </w:r>
          </w:p>
        </w:tc>
      </w:tr>
      <w:tr>
        <w:trPr/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Актуализация порядка предоставления </w:t>
            </w:r>
            <w:r>
              <w:rPr>
                <w:rFonts w:eastAsia="Cambria"/>
                <w:color w:val="000000"/>
                <w:sz w:val="24"/>
                <w:szCs w:val="24"/>
              </w:rPr>
              <w:t>грантов субъектам малого и среднего предпринимательства на организацию и развитие собственного бизнеса за счет средств бюджета Петровского городского округа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>отдел развития предпринимательства, торговли и потребительского рынка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администрации Петровского городского округа Ставропольского края (далее - </w:t>
            </w:r>
            <w:r>
              <w:rPr>
                <w:color w:val="000000"/>
                <w:sz w:val="24"/>
                <w:szCs w:val="24"/>
              </w:rPr>
              <w:t>отдел развития предпринимательства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lang w:val="ru-RU"/>
              </w:rPr>
              <w:t>(при необходимости)</w:t>
            </w:r>
          </w:p>
        </w:tc>
      </w:tr>
      <w:tr>
        <w:trPr>
          <w:trHeight w:val="1795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Петровского городского округа 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Актуализация регламента предоставления </w:t>
            </w:r>
            <w:r>
              <w:rPr>
                <w:rFonts w:eastAsia="Cambria"/>
                <w:color w:val="000000"/>
                <w:sz w:val="24"/>
                <w:szCs w:val="24"/>
              </w:rPr>
              <w:t>грантов субъектам малого и среднего предпринимательства на организацию и развитие собственного бизнеса за счет средств бюджета Петровского городского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развития предпринимательства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lang w:val="ru-RU"/>
              </w:rPr>
              <w:t>(при необходимости)</w:t>
            </w:r>
          </w:p>
        </w:tc>
      </w:tr>
      <w:tr>
        <w:trPr/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u w:val="none"/>
              </w:rPr>
            </w:pPr>
            <w:r>
              <w:rPr>
                <w:rFonts w:eastAsia="Cambria" w:cs="Times New Roman" w:ascii="Times New Roman" w:hAnsi="Times New Roman"/>
                <w:b/>
                <w:bCs/>
                <w:sz w:val="24"/>
                <w:szCs w:val="24"/>
                <w:u w:val="none"/>
              </w:rPr>
              <w:t>Подпрограмма «Совершенствование системы стратегического управления (планирования)»</w:t>
            </w:r>
          </w:p>
        </w:tc>
      </w:tr>
      <w:tr>
        <w:trPr/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color w:val="000000"/>
                <w:sz w:val="24"/>
                <w:szCs w:val="24"/>
                <w:u w:val="none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Внесение изменений в Порядок разработки, реализации и оценки эффктивности муниципальных программ Петровского городского округа Ставропольского края</w:t>
            </w:r>
          </w:p>
        </w:tc>
        <w:tc>
          <w:tcPr>
            <w:tcW w:w="2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color w:val="000000"/>
                <w:sz w:val="24"/>
                <w:szCs w:val="24"/>
                <w:u w:val="none"/>
              </w:rPr>
              <w:t>отдел стратегического планирования</w:t>
            </w:r>
          </w:p>
        </w:tc>
        <w:tc>
          <w:tcPr>
            <w:tcW w:w="4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  <w:u w:val="none"/>
              </w:rPr>
            </w:pPr>
            <w:r>
              <w:rPr>
                <w:color w:val="000000"/>
                <w:sz w:val="24"/>
                <w:szCs w:val="24"/>
                <w:u w:val="none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u w:val="none"/>
                <w:lang w:val="ru-RU"/>
              </w:rPr>
              <w:t>(при необходимости)</w:t>
            </w:r>
          </w:p>
        </w:tc>
      </w:tr>
      <w:tr>
        <w:trPr/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«Обеспечение реализации муниципальной 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</w:t>
            </w:r>
          </w:p>
        </w:tc>
      </w:tr>
      <w:tr>
        <w:trPr/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>Внесение изменений в Положение об отделе стратегического планирования и инвестиций администрации Петровского городского округа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lang w:val="ru-RU"/>
              </w:rPr>
              <w:t>(при необходимости)</w:t>
            </w:r>
          </w:p>
        </w:tc>
      </w:tr>
      <w:tr>
        <w:trPr/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>Внесение изменений в Положение об отделе отдел развития малого и среднего предпринимательства, торговли и потребительского рынка администрации Петровского городского округа Ставропольского края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развития предпринимательства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срока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реализации программы </w:t>
            </w:r>
            <w:r>
              <w:rPr>
                <w:color w:val="000000"/>
                <w:sz w:val="24"/>
                <w:szCs w:val="24"/>
                <w:lang w:val="ru-RU"/>
              </w:rPr>
              <w:t>(при необходимости)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jc w:val="right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3</w:t>
      </w:r>
    </w:p>
    <w:p>
      <w:pPr>
        <w:pStyle w:val="Normal"/>
        <w:widowControl w:val="false"/>
        <w:spacing w:lineRule="exact" w:line="240" w:before="0" w:after="0"/>
        <w:jc w:val="center"/>
        <w:rPr>
          <w:rFonts w:ascii="Times New Roman" w:hAnsi="Times New Roman"/>
          <w:color w:val="C9211E"/>
          <w:sz w:val="28"/>
          <w:szCs w:val="28"/>
        </w:rPr>
      </w:pPr>
      <w:r>
        <w:rPr>
          <w:rFonts w:ascii="Times New Roman" w:hAnsi="Times New Roman"/>
          <w:color w:val="C9211E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 источнике информации и методике расчета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индикаторов достижения целей муниципальной программы и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показателей решения задач подпрограмм муниципальной программы</w:t>
      </w:r>
    </w:p>
    <w:p>
      <w:pPr>
        <w:pStyle w:val="Normal"/>
        <w:widowControl w:val="false"/>
        <w:spacing w:lineRule="exact" w:line="240" w:before="0" w:after="0"/>
        <w:jc w:val="center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tbl>
      <w:tblPr>
        <w:tblW w:w="15277" w:type="dxa"/>
        <w:jc w:val="left"/>
        <w:tblInd w:w="-184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524"/>
        <w:gridCol w:w="3105"/>
        <w:gridCol w:w="1238"/>
        <w:gridCol w:w="7544"/>
        <w:gridCol w:w="2866"/>
      </w:tblGrid>
      <w:tr>
        <w:trPr/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Единица измере-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Источник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(методика расчета)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>
        <w:trPr>
          <w:trHeight w:val="195" w:hRule="atLeast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Программа «Модернизация экономики и улучшение инвестиционного климата»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30303"/>
                <w:sz w:val="24"/>
                <w:szCs w:val="24"/>
              </w:rPr>
              <w:t>Цель 1. Повышение инвестиционной активности на территории округа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Данные формируются на основе показателей бюллетеня по форме федерального статистического наблюдения № П-2 «Сведения об инвестициях в нефинансовые активы» по крупным и средним предприятиям.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Форма федерального статистического наблюдения П-2 утверждена Приказом Росстата от 17.07.2015г. №327 (ред. от 20.06.2018 г.)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Индекс физического объема инвестиций в основной капитал определяется путем деления объема инвестиций в основной капитал за отчетный период на объем инвестиций в основной капитал за соответствующий период предыдущего года и рассчитывается по формуле: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о.п./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п.п.*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100%, где: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индекс физического объема инвестиций в основной капитал;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о.п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 инвестиций в основной капитал за отчетный период;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п.п.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объем инвестиций в основной капитал за соответствующий период.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mbria" w:cs="Times New Roman"/>
                <w:b/>
                <w:b/>
                <w:bCs/>
                <w:color w:val="030303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b/>
                <w:bCs/>
                <w:color w:val="030303"/>
                <w:sz w:val="24"/>
                <w:szCs w:val="24"/>
              </w:rPr>
              <w:t>Подпрограмма «Формирование благоприятного инвестиционного климата»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30303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</w:rPr>
              <w:t>Объем инвестиций в основной капитал в основной капитал (за исключением бюджетных средств) в расчете на 1 жителя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рублей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Информация отдела стратегического планирования.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Данные за отчетный год формируются на основе показателей статистического бюллетеня по форме федерального статистического наблюдения № П-2 «Сведения об инвестициях в нефинансовые активы», по крупным и средним предприятиям.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за год, предшествующий отчетному, уточняется на основе данных бюллетеня по форме федерального статистического наблюдения П-2 (инвест) «Сведения об инвестиционной деятельности».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Формы федерального статистического наблюдения № П-2, П-2 (инвест) утверждены Приказом Росстата от 17.07.2015г. №327 (ред. от 20.06.2018 г.)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Рассчитывается по формуле: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д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/Ч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, где: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д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объем инвестиций в основной капитал на душу населения;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– объем инвестиций крупных и средних предприятий;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– среднегодовая численность населения округа.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</w:rPr>
              <w:t>Количество инвестиционных проектов, реализуемых на территории округа</w:t>
            </w:r>
            <w:r>
              <w:rPr>
                <w:rFonts w:eastAsia="Cambria" w:cs="Times New Roman" w:ascii="Times New Roman" w:hAnsi="Times New Roman"/>
                <w:b/>
                <w:color w:val="030303"/>
                <w:sz w:val="24"/>
                <w:szCs w:val="24"/>
              </w:rPr>
              <w:t>,</w:t>
            </w: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</w:rPr>
              <w:t xml:space="preserve"> не менее 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(нарастающим итогом)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Формула расчета показателя: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QI=</w:t>
            </w:r>
            <w:r>
              <w:rPr>
                <w:rFonts w:eastAsia="DejaVu Sans" w:cs="Times New Roman" w:ascii="Times New Roman" w:hAnsi="Times New Roman"/>
                <w:color w:val="000000"/>
                <w:sz w:val="32"/>
                <w:szCs w:val="32"/>
                <w:lang w:val="ru-RU"/>
              </w:rPr>
              <w:t>Σ</w:t>
            </w:r>
            <w:r>
              <w:rPr>
                <w:rFonts w:eastAsia="DejaVu Sans" w:cs="Times New Roman" w:ascii="Times New Roman" w:hAnsi="Times New Roman"/>
                <w:color w:val="000000"/>
                <w:sz w:val="32"/>
                <w:szCs w:val="32"/>
                <w:vertAlign w:val="subscript"/>
                <w:lang w:val="ru-RU"/>
              </w:rPr>
              <w:t>i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QI</w:t>
            </w:r>
            <w:r>
              <w:rPr>
                <w:rFonts w:eastAsia="DejaVu Sans"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i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, где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QI- к</w:t>
            </w: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  <w:lang w:val="ru-RU"/>
              </w:rPr>
              <w:t>оличество инвестиционных проектов, реализуемых на территории округа в i-м году, нарастающим итогом, начиная с 2019 года, единиц;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Qi</w:t>
            </w:r>
            <w:r>
              <w:rPr>
                <w:rFonts w:eastAsia="DejaVu Sans" w:cs="Times New Roman" w:ascii="Times New Roman" w:hAnsi="Times New Roman"/>
                <w:color w:val="030303"/>
                <w:sz w:val="24"/>
                <w:szCs w:val="24"/>
                <w:vertAlign w:val="subscript"/>
                <w:lang w:val="ru-RU"/>
              </w:rPr>
              <w:t xml:space="preserve">i </w:t>
            </w:r>
            <w:r>
              <w:rPr>
                <w:rFonts w:eastAsia="DejaVu Sans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-  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к</w:t>
            </w: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оличество инвестиционных проектов, реализуемых на территории округа в i-м году,единиц;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i - годы реализации программы, включая базовые периоды, i — 2019, 2020, 2021, 2022, 2023, 2024, 2025, 2026;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базовыми периодами дополнительных показателей являются 2019, 2020 годы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30303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30303"/>
                <w:sz w:val="24"/>
                <w:szCs w:val="24"/>
              </w:rPr>
              <w:t>Количество средних и крупных предприятий базовых несырьевых отраслей экономики, вовлеченных в реализацию регионального проекта «Адресная поддержка на предприятиях» (нарастающим итогом)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Формула расчета показателя: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SKP=</w:t>
            </w:r>
            <w:r>
              <w:rPr>
                <w:rFonts w:eastAsia="DejaVu Sans" w:cs="Times New Roman" w:ascii="Times New Roman" w:hAnsi="Times New Roman"/>
                <w:color w:val="000000"/>
                <w:sz w:val="32"/>
                <w:szCs w:val="32"/>
                <w:lang w:val="ru-RU"/>
              </w:rPr>
              <w:t>Σ</w:t>
            </w:r>
            <w:r>
              <w:rPr>
                <w:rFonts w:eastAsia="DejaVu Sans" w:cs="Times New Roman" w:ascii="Times New Roman" w:hAnsi="Times New Roman"/>
                <w:color w:val="000000"/>
                <w:sz w:val="32"/>
                <w:szCs w:val="32"/>
                <w:vertAlign w:val="subscript"/>
                <w:lang w:val="ru-RU"/>
              </w:rPr>
              <w:t>i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SKP</w:t>
            </w:r>
            <w:r>
              <w:rPr>
                <w:rFonts w:eastAsia="DejaVu Sans"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i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, где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SKP - к</w:t>
            </w:r>
            <w:r>
              <w:rPr>
                <w:rFonts w:eastAsia="Times New Roman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оличество средних и крупных предприятий базовых несырьевых отраслей экономики, вовлеченных в реализацию регионального проекта «Адресная поддержка на предприятиях» </w:t>
            </w: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на территории округа в i-м году, нарастающим итогом, начиная с 2019 года, единиц;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SKP</w:t>
            </w:r>
            <w:r>
              <w:rPr>
                <w:rFonts w:eastAsia="DejaVu Sans" w:cs="Times New Roman" w:ascii="Times New Roman" w:hAnsi="Times New Roman"/>
                <w:color w:val="030303"/>
                <w:sz w:val="24"/>
                <w:szCs w:val="24"/>
                <w:vertAlign w:val="subscript"/>
                <w:lang w:val="ru-RU"/>
              </w:rPr>
              <w:t>i</w:t>
            </w:r>
            <w:r>
              <w:rPr>
                <w:rFonts w:eastAsia="DejaVu Sans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 - 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к</w:t>
            </w:r>
            <w:r>
              <w:rPr>
                <w:rFonts w:eastAsia="Times New Roman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оличество средних и крупных предприятий базовых несырьевых отраслей экономики, вовлеченных в реализацию регионального проекта «Адресная поддержка на предприятиях» </w:t>
            </w: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на территории округа в i-м году, единиц;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i - годы реализации программы, включая базовые периоды, i — 2019, 2020, 2021, 2022, 2023, 2024, 2025, 2026;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30303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базовыми периодами дополнительных показателей являются 2019, 2020 годы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Цель 2. Обеспечение благоприятных условий для развития малого и среднего предпринимательства и потребительского рынка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Формула расчета показателя: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H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vertAlign w:val="subscript"/>
                <w:lang w:val="ru-RU"/>
              </w:rPr>
              <w:t>MSP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=MSP/N*10000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, где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H</w:t>
            </w:r>
            <w:r>
              <w:rPr>
                <w:rFonts w:eastAsia="DejaVu Sans" w:cs="Times New Roman" w:ascii="Times New Roman" w:hAnsi="Times New Roman"/>
                <w:color w:val="000000"/>
                <w:sz w:val="20"/>
                <w:szCs w:val="20"/>
                <w:vertAlign w:val="subscript"/>
                <w:lang w:val="ru-RU"/>
              </w:rPr>
              <w:t>MSP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0"/>
                <w:sz w:val="20"/>
                <w:szCs w:val="20"/>
                <w:vertAlign w:val="baseline"/>
                <w:lang w:val="ru-RU"/>
              </w:rPr>
              <w:t xml:space="preserve"> - </w:t>
            </w: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ч</w:t>
            </w: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исло субъектов малого и среднего предпринимательства в расчете на 10 тыс. человек населения;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MSP - количество </w:t>
            </w: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субъектов малого и среднего предпринимательства в отчетном году;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N - численность населения в отчетном году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предпринимательства.</w:t>
            </w:r>
          </w:p>
          <w:p>
            <w:pPr>
              <w:pStyle w:val="Style20"/>
              <w:spacing w:before="0" w:after="20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Формула расчета показателя:</w:t>
            </w:r>
          </w:p>
          <w:p>
            <w:pPr>
              <w:pStyle w:val="Style20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D =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(S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мл+ср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/(S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мл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+H))*100%</w:t>
            </w:r>
            <w:r>
              <w:rPr/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>
            <w:pPr>
              <w:pStyle w:val="Style20"/>
              <w:pBdr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D - </w:t>
            </w:r>
            <w:r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%;</w:t>
            </w:r>
          </w:p>
          <w:p>
            <w:pPr>
              <w:pStyle w:val="Style20"/>
              <w:pBdr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S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мл+ср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среднесписочная численность работников (без внешних совместителей) малых (включая микро) и средних предприятий – юридических лиц (на основе формы № МП-сп), чел.;</w:t>
            </w:r>
          </w:p>
          <w:p>
            <w:pPr>
              <w:pStyle w:val="Style20"/>
              <w:pBdr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H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среднесписочная численность работников (на основе формы № П-4 (год) «Сведения о численности,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заработной плате</w:t>
            </w: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движении работников» ), чел.;</w:t>
            </w:r>
          </w:p>
          <w:p>
            <w:pPr>
              <w:pStyle w:val="Style20"/>
              <w:pBdr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S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мл</w:t>
            </w:r>
            <w:r>
              <w:rPr>
                <w:rFonts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среднесписочная численность работников (без внешних совместителей) малых предприятий (включая микропредприятия) (на основе формы № МП-сп), чел.</w:t>
            </w:r>
          </w:p>
          <w:p>
            <w:pPr>
              <w:pStyle w:val="Style20"/>
              <w:spacing w:lineRule="auto" w:line="240" w:before="0" w:after="0"/>
              <w:ind w:left="0" w:right="0" w:hanging="0"/>
              <w:jc w:val="both"/>
              <w:rPr/>
            </w:pPr>
            <w:r>
              <w:rPr/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mbria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«Поддержка и развитие малого и среднего предпринимательства»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 (нарастающим итогом)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требует расчета.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Количество проведенных рейдовых мероприятий по ликвидации стихийной торговли, продукцией без соответствующих документов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требует расчета.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Количество потребителей, получивших информационную помощь в области защиты прав потребителей в сфере торговли, общественного питания, бытового обслуживания (ежегодно)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требует расчета.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требует расчета.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sz w:val="24"/>
                <w:szCs w:val="24"/>
              </w:rPr>
              <w:t>Доля ставропольских товаропроизводителей, принявших участие в ярмарках, проведенных на территории округа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развития предпринимательства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Формула расчета показателя: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  <w:lang w:val="ru-RU"/>
              </w:rPr>
              <w:t>D=ST:</w:t>
            </w: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T*100%, где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D -  Доля ставропольских товаропроизводителей, принявших участие в ярмарках, проведенных на территории округа;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ST -  ставропольские товаропроизводители;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eastAsia="Cambria" w:cs="Times New Roman" w:ascii="Times New Roman" w:hAnsi="Times New Roman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T - общее количество товаропроизводителей, принявших участие в ярмарках, проведенных на территории округа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ежеквартально, до 15-го числа месяца, следующего за отчетным кварталом</w:t>
            </w:r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30303"/>
                <w:sz w:val="24"/>
                <w:szCs w:val="24"/>
              </w:rPr>
              <w:t>Цель 3. Определение направлений и ожидаемых результатов социально-экономического развития округа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30303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</w:rPr>
              <w:t>Среднее отклонение фактических значений показателей социально-экономического развития округа от прогнозируемых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  <w:t>%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Приказ министерства финансов Ставропольского края № 246, минэкономразвития Ставропольского края № 315/од от 21.09.2018 «Об утверждении Методики расчета оценки качества управления бюджетным процессом и стратегического планирования в муниципальных районах и городских округах Ставропольского края» (с изм. от 17.05.2019 г. №176/124)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bookmarkStart w:id="2" w:name="__DdeLink__19472_714852511"/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  <w:bookmarkEnd w:id="2"/>
          </w:p>
        </w:tc>
      </w:tr>
      <w:tr>
        <w:trPr>
          <w:trHeight w:val="90" w:hRule="atLeast"/>
        </w:trPr>
        <w:tc>
          <w:tcPr>
            <w:tcW w:w="152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30303"/>
                <w:sz w:val="24"/>
                <w:szCs w:val="24"/>
              </w:rPr>
              <w:t>Подпрограмма «Совершенствование системы стратегического управления (планирования)»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Доля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Рассчитывается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зп.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/К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р.а.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* 100%, где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доля  разработанных (актуализированных) документов среднесрочного и долгосрочного прогнозирования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зп-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общее число запланированных к разработке (актуализации) документов среднесрочного и долгосрочного прогнозирования;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р.а.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общее число разработанных (актуализированных) документов среднесрочного и долгосрочного прогнозирования.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mbria" w:cs="Times New Roman" w:ascii="Times New Roman" w:hAnsi="Times New Roman"/>
                <w:color w:val="030303"/>
                <w:sz w:val="24"/>
                <w:szCs w:val="24"/>
              </w:rPr>
              <w:t>Обеспечение государственной регистрации в федеральном государственном реестре документов стратегического планирования округа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отдела стратегического планирования.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Рассчитывается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о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/К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р.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* 100%, где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обеспечение государственной регистрации документов стратегического планирования округа в  государственной автоматизированной информационной системе «Управление»;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ru-RU"/>
              </w:rPr>
              <w:t>о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 количество утвержденных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(одобренных) в отчетном периоде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документов стратегического планирования округа,  подлежащих 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>государственной регистрации  в государственной автоматизированной информационной системе «Управление»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vertAlign w:val="subscript"/>
              </w:rPr>
              <w:t>р.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-  количество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утвержденных (одобренных) документов стратегического планирования округа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 зарегистрированных 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  <w:t xml:space="preserve">в государственной автоматизированной информационной системе «Управление»  </w:t>
            </w: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  <w:lang w:val="ru-RU"/>
              </w:rPr>
              <w:t>в отчетном периоде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color w:val="000000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  <w:tr>
        <w:trPr>
          <w:trHeight w:val="90" w:hRule="atLeast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mbria" w:cs="Times New Roman"/>
                <w:b/>
                <w:b/>
                <w:bCs/>
                <w:i w:val="false"/>
                <w:i w:val="false"/>
                <w:iCs w:val="false"/>
                <w:color w:val="030303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bCs/>
                <w:iCs w:val="false"/>
                <w:color w:val="030303"/>
                <w:sz w:val="24"/>
                <w:szCs w:val="24"/>
              </w:rPr>
              <w:t>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>да/нет</w:t>
            </w:r>
          </w:p>
        </w:tc>
        <w:tc>
          <w:tcPr>
            <w:tcW w:w="7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требует расчета, данные отдела стратегического планирования.</w:t>
            </w:r>
          </w:p>
        </w:tc>
        <w:tc>
          <w:tcPr>
            <w:tcW w:w="2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ежегодно,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 01 марта года, следующего за отчетным</w:t>
            </w:r>
          </w:p>
        </w:tc>
      </w:tr>
    </w:tbl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DejaVu Sans">
    <w:charset w:val="01"/>
    <w:family w:val="roman"/>
    <w:pitch w:val="variable"/>
  </w:font>
  <w:font w:name="Arial">
    <w:charset w:val="01"/>
    <w:family w:val="roman"/>
    <w:pitch w:val="variable"/>
  </w:font>
  <w:font w:name="Candar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jaVu Sans" w:cs="DejaVu Sans"/>
        <w:sz w:val="20"/>
        <w:szCs w:val="22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DejaVu Sans" w:cs="DejaVu Sans"/>
      <w:color w:val="auto"/>
      <w:kern w:val="0"/>
      <w:sz w:val="22"/>
      <w:szCs w:val="22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basedOn w:val="DefaultParagraphFont"/>
    <w:rPr>
      <w:color w:val="0000FF"/>
      <w:u w:val="single"/>
    </w:rPr>
  </w:style>
  <w:style w:type="character" w:styleId="Style15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Style16">
    <w:name w:val="Верхний колонтитул Знак"/>
    <w:basedOn w:val="DefaultParagraphFont"/>
    <w:qFormat/>
    <w:rPr/>
  </w:style>
  <w:style w:type="character" w:styleId="Style17">
    <w:name w:val="Нижний колонтитул Знак"/>
    <w:basedOn w:val="DefaultParagraphFont"/>
    <w:qFormat/>
    <w:rPr/>
  </w:style>
  <w:style w:type="character" w:styleId="ListLabel1">
    <w:name w:val="ListLabel 1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styleId="ListLabel2">
    <w:name w:val="ListLabel 2"/>
    <w:qFormat/>
    <w:rPr/>
  </w:style>
  <w:style w:type="character" w:styleId="ListLabel3">
    <w:name w:val="ListLabel 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styleId="ListLabel4">
    <w:name w:val="ListLabel 4"/>
    <w:qFormat/>
    <w:rPr/>
  </w:style>
  <w:style w:type="character" w:styleId="ListLabel5">
    <w:name w:val="ListLabel 5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6">
    <w:name w:val="ListLabel 6"/>
    <w:qFormat/>
    <w:rPr>
      <w:color w:val="000000"/>
    </w:rPr>
  </w:style>
  <w:style w:type="character" w:styleId="ListLabel7">
    <w:name w:val="ListLabel 7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8">
    <w:name w:val="ListLabel 8"/>
    <w:qFormat/>
    <w:rPr>
      <w:color w:val="000000"/>
    </w:rPr>
  </w:style>
  <w:style w:type="character" w:styleId="ListLabel9">
    <w:name w:val="ListLabel 9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10">
    <w:name w:val="ListLabel 10"/>
    <w:qFormat/>
    <w:rPr>
      <w:color w:val="000000"/>
    </w:rPr>
  </w:style>
  <w:style w:type="character" w:styleId="ListLabel11">
    <w:name w:val="ListLabel 11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14">
    <w:name w:val="ListLabel 14"/>
    <w:qFormat/>
    <w:rPr>
      <w:color w:val="000000"/>
    </w:rPr>
  </w:style>
  <w:style w:type="character" w:styleId="ListLabel15">
    <w:name w:val="ListLabel 15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16">
    <w:name w:val="ListLabel 16"/>
    <w:qFormat/>
    <w:rPr>
      <w:color w:val="000000"/>
    </w:rPr>
  </w:style>
  <w:style w:type="character" w:styleId="Style18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17">
    <w:name w:val="ListLabel 17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18">
    <w:name w:val="ListLabel 18"/>
    <w:qFormat/>
    <w:rPr>
      <w:rFonts w:ascii="Times New Roman" w:hAnsi="Times New Roman"/>
      <w:color w:val="000000"/>
    </w:rPr>
  </w:style>
  <w:style w:type="character" w:styleId="ListLabel19">
    <w:name w:val="ListLabel 19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ListLabel20">
    <w:name w:val="ListLabel 20"/>
    <w:qFormat/>
    <w:rPr>
      <w:color w:val="000000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Droid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>
    <w:name w:val="ConsPlusNormal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DejaVu Sans" w:cs="Times New Roman"/>
      <w:color w:val="auto"/>
      <w:kern w:val="0"/>
      <w:sz w:val="28"/>
      <w:szCs w:val="28"/>
      <w:lang w:val="ru-RU" w:eastAsia="ru-RU" w:bidi="ar-SA"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2"/>
      <w:lang w:val="ru-RU" w:eastAsia="en-US" w:bidi="ar-SA"/>
    </w:rPr>
  </w:style>
  <w:style w:type="paragraph" w:styleId="ConsPlusCell">
    <w:name w:val="ConsPlusCell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>
      <w:rFonts w:eastAsia="Calibri"/>
      <w:lang w:eastAsia="en-US"/>
    </w:rPr>
  </w:style>
  <w:style w:type="paragraph" w:styleId="Default">
    <w:name w:val="Default"/>
    <w:qFormat/>
    <w:pPr>
      <w:widowControl/>
      <w:overflowPunct w:val="true"/>
      <w:bidi w:val="0"/>
      <w:spacing w:lineRule="auto" w:line="240" w:before="0" w:after="0"/>
      <w:jc w:val="left"/>
    </w:pPr>
    <w:rPr>
      <w:rFonts w:ascii="Candara" w:hAnsi="Candara" w:eastAsia="Calibri" w:cs="Candara"/>
      <w:color w:val="000000"/>
      <w:kern w:val="0"/>
      <w:sz w:val="24"/>
      <w:szCs w:val="24"/>
      <w:lang w:val="ru-RU" w:eastAsia="en-US" w:bidi="ar-SA"/>
    </w:rPr>
  </w:style>
  <w:style w:type="paragraph" w:styleId="Style24">
    <w:name w:val="Header"/>
    <w:basedOn w:val="Normal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Application>LibreOffice/6.2.8.2$Linux_X86_64 LibreOffice_project/20$Build-2</Application>
  <Pages>19</Pages>
  <Words>3635</Words>
  <CharactersWithSpaces>30234</CharactersWithSpaces>
  <Paragraphs>406</Paragraphs>
  <Company>Администрация Петровского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2019-08-13T11:31:00Z</dcterms:created>
  <dc:creator>Отдел экономичесого развития</dc:creator>
  <dc:description/>
  <dc:language>ru-RU</dc:language>
  <cp:lastModifiedBy/>
  <cp:lastPrinted>2019-08-08T08:33:00Z</cp:lastPrinted>
  <dcterms:modified xsi:type="dcterms:W3CDTF">2020-08-26T11:39:23Z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