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9E" w:rsidRDefault="0073365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C31F9E" w:rsidRDefault="00C31F9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31F9E" w:rsidRDefault="0073365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 СТАВРОПОЛЬСКОГО КРАЯ</w:t>
      </w:r>
    </w:p>
    <w:p w:rsidR="00C31F9E" w:rsidRDefault="00C31F9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43"/>
        <w:gridCol w:w="3169"/>
        <w:gridCol w:w="3144"/>
      </w:tblGrid>
      <w:tr w:rsidR="00C31F9E">
        <w:trPr>
          <w:trHeight w:val="208"/>
        </w:trPr>
        <w:tc>
          <w:tcPr>
            <w:tcW w:w="3043" w:type="dxa"/>
            <w:shd w:val="clear" w:color="auto" w:fill="auto"/>
          </w:tcPr>
          <w:p w:rsidR="00C31F9E" w:rsidRDefault="003C4B0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2020 г.</w:t>
            </w:r>
          </w:p>
        </w:tc>
        <w:tc>
          <w:tcPr>
            <w:tcW w:w="3169" w:type="dxa"/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44" w:type="dxa"/>
            <w:shd w:val="clear" w:color="auto" w:fill="auto"/>
          </w:tcPr>
          <w:p w:rsidR="00C31F9E" w:rsidRDefault="003C4B00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801-р</w:t>
            </w:r>
          </w:p>
        </w:tc>
      </w:tr>
    </w:tbl>
    <w:p w:rsidR="00C31F9E" w:rsidRDefault="00C31F9E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1F9E" w:rsidRDefault="0073365B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2021 год</w:t>
      </w:r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C31F9E" w:rsidRDefault="00C31F9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C31F9E" w:rsidRDefault="0073365B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4"/>
        </w:rPr>
        <w:t xml:space="preserve">В соответствии с  Порядком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2018 г. года № 528 (в редакции от 30 августа 2018 г. № 1547, от 11 января 2019 г.    № 9, от 08 августа 2019 г. № 1645, от 06 июля 2020 г. № 867), распоряжением администрации 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18 апреля 2018 г. № 206-р «</w:t>
      </w:r>
      <w:r>
        <w:rPr>
          <w:rFonts w:ascii="Times New Roman" w:hAnsi="Times New Roman" w:cs="Arial"/>
          <w:bCs/>
          <w:sz w:val="28"/>
          <w:szCs w:val="28"/>
        </w:rPr>
        <w:t xml:space="preserve">Об утверждении Методических указаний по 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 xml:space="preserve">разработке и реализации муниципальных программ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Arial"/>
          <w:bCs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» (в редакции от 19 октября 2018 г. № 571-р, от 04 декабря 2018 г. № 656-р, от 20 сентября 2019 г. № 554-р, от 02 июля      2020 г. № 370-р) и в целях реализации муниципальной программы Петровского городского округа Ставропольского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</w:t>
      </w:r>
      <w:r>
        <w:rPr>
          <w:rFonts w:ascii="Times New Roman" w:eastAsia="Calibri" w:hAnsi="Times New Roman"/>
          <w:color w:val="222222"/>
          <w:sz w:val="28"/>
          <w:szCs w:val="28"/>
          <w:lang w:eastAsia="en-US"/>
        </w:rPr>
        <w:t>о</w:t>
      </w:r>
      <w:proofErr w:type="gramEnd"/>
      <w:r>
        <w:rPr>
          <w:rFonts w:ascii="Times New Roman" w:eastAsia="Calibri" w:hAnsi="Times New Roman"/>
          <w:color w:val="222222"/>
          <w:sz w:val="28"/>
          <w:szCs w:val="28"/>
          <w:lang w:eastAsia="en-US"/>
        </w:rPr>
        <w:t xml:space="preserve"> края 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13 ноября 2020 г. № 1569</w:t>
      </w:r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C31F9E" w:rsidRDefault="0073365B">
      <w:pPr>
        <w:pStyle w:val="aa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2021 год. </w:t>
      </w:r>
    </w:p>
    <w:p w:rsidR="00C31F9E" w:rsidRDefault="00C31F9E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F9E" w:rsidRDefault="007336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 заместителя главы администрации Петровского городского округа Ставропольского края Сергееву Е.И. </w:t>
      </w:r>
    </w:p>
    <w:p w:rsidR="00C31F9E" w:rsidRDefault="00C31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F9E" w:rsidRDefault="007336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Настоящее распоряжение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2021 год» вступает в силу с 01 января 2021 г.</w:t>
      </w:r>
    </w:p>
    <w:p w:rsidR="00C31F9E" w:rsidRDefault="00C31F9E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1F9E" w:rsidRDefault="00C31F9E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1F9E" w:rsidRDefault="0073365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Петровского </w:t>
      </w:r>
    </w:p>
    <w:p w:rsidR="00C31F9E" w:rsidRDefault="0073365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C31F9E" w:rsidRDefault="0073365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А.А.Захарченко</w:t>
      </w:r>
      <w:proofErr w:type="spellEnd"/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1F9E" w:rsidRDefault="00C31F9E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31F9E" w:rsidRPr="003C4B00" w:rsidRDefault="00C31F9E" w:rsidP="0073365B">
      <w:pPr>
        <w:tabs>
          <w:tab w:val="left" w:pos="8080"/>
        </w:tabs>
        <w:spacing w:after="0" w:line="240" w:lineRule="exact"/>
        <w:ind w:left="-1418" w:right="1274"/>
        <w:jc w:val="both"/>
        <w:rPr>
          <w:color w:val="FFFFFF" w:themeColor="background1"/>
        </w:rPr>
        <w:sectPr w:rsidR="00C31F9E" w:rsidRPr="003C4B00" w:rsidSect="0073365B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tbl>
      <w:tblPr>
        <w:tblW w:w="14366" w:type="dxa"/>
        <w:tblLook w:val="01E0" w:firstRow="1" w:lastRow="1" w:firstColumn="1" w:lastColumn="1" w:noHBand="0" w:noVBand="0"/>
      </w:tblPr>
      <w:tblGrid>
        <w:gridCol w:w="9462"/>
        <w:gridCol w:w="4904"/>
      </w:tblGrid>
      <w:tr w:rsidR="00C31F9E">
        <w:trPr>
          <w:trHeight w:val="245"/>
        </w:trPr>
        <w:tc>
          <w:tcPr>
            <w:tcW w:w="9461" w:type="dxa"/>
            <w:shd w:val="clear" w:color="auto" w:fill="auto"/>
          </w:tcPr>
          <w:p w:rsidR="00C31F9E" w:rsidRDefault="00C31F9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C31F9E" w:rsidRDefault="0073365B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</w:tc>
      </w:tr>
      <w:tr w:rsidR="00C31F9E">
        <w:trPr>
          <w:trHeight w:val="735"/>
        </w:trPr>
        <w:tc>
          <w:tcPr>
            <w:tcW w:w="9461" w:type="dxa"/>
            <w:shd w:val="clear" w:color="auto" w:fill="auto"/>
          </w:tcPr>
          <w:p w:rsidR="00C31F9E" w:rsidRDefault="00C31F9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C31F9E" w:rsidRDefault="007336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Петровского городского округа                      Ставропольского края</w:t>
            </w:r>
          </w:p>
          <w:p w:rsidR="00C31F9E" w:rsidRDefault="003C4B00">
            <w:pPr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733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декабря 2020 г. № 801-р</w:t>
            </w:r>
          </w:p>
        </w:tc>
      </w:tr>
      <w:tr w:rsidR="00C31F9E">
        <w:trPr>
          <w:trHeight w:val="258"/>
        </w:trPr>
        <w:tc>
          <w:tcPr>
            <w:tcW w:w="9461" w:type="dxa"/>
            <w:shd w:val="clear" w:color="auto" w:fill="auto"/>
          </w:tcPr>
          <w:p w:rsidR="00C31F9E" w:rsidRDefault="00C31F9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C31F9E" w:rsidRDefault="00C31F9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F9E">
        <w:trPr>
          <w:trHeight w:val="245"/>
        </w:trPr>
        <w:tc>
          <w:tcPr>
            <w:tcW w:w="9461" w:type="dxa"/>
            <w:shd w:val="clear" w:color="auto" w:fill="auto"/>
          </w:tcPr>
          <w:p w:rsidR="00C31F9E" w:rsidRDefault="00C31F9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C31F9E" w:rsidRDefault="00C31F9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1F9E" w:rsidRDefault="0073365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1356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ДЕТАЛЬНЫЙ ПЛАН-ГРАФИК </w:t>
      </w:r>
    </w:p>
    <w:p w:rsidR="00C31F9E" w:rsidRDefault="0073365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реализации муниципальной программы Петровского городского округа Ставропольского края </w:t>
      </w:r>
    </w:p>
    <w:p w:rsidR="00C31F9E" w:rsidRDefault="0073365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«Модернизация экономики и улучшение инвестиционного климата»</w:t>
      </w:r>
    </w:p>
    <w:p w:rsidR="00C31F9E" w:rsidRDefault="0073365B">
      <w:pPr>
        <w:widowControl w:val="0"/>
        <w:spacing w:after="0"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 2021 год</w:t>
      </w:r>
    </w:p>
    <w:p w:rsidR="00C31F9E" w:rsidRDefault="00C31F9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48" w:type="dxa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2463"/>
        <w:gridCol w:w="2268"/>
        <w:gridCol w:w="1413"/>
        <w:gridCol w:w="758"/>
        <w:gridCol w:w="878"/>
        <w:gridCol w:w="1669"/>
        <w:gridCol w:w="1152"/>
        <w:gridCol w:w="1376"/>
        <w:gridCol w:w="1858"/>
      </w:tblGrid>
      <w:tr w:rsidR="00C31F9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/п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Ответственный исполнитель (должность Ф.И.О)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8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 w:rsidR="00C31F9E" w:rsidRDefault="007336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тыс. рублей</w:t>
            </w:r>
          </w:p>
        </w:tc>
      </w:tr>
      <w:tr w:rsidR="00C31F9E">
        <w:trPr>
          <w:trHeight w:val="55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ConsPlusNormal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Налоговые расходы бюджета округа</w:t>
            </w: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участников Программы</w:t>
            </w:r>
          </w:p>
        </w:tc>
      </w:tr>
      <w:tr w:rsidR="00C31F9E">
        <w:trPr>
          <w:trHeight w:val="1616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из краевого бюджета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юридические лица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индивидуальные предприниматели, физические лица</w:t>
            </w:r>
          </w:p>
        </w:tc>
      </w:tr>
      <w:tr w:rsidR="00C31F9E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31F9E">
        <w:trPr>
          <w:trHeight w:val="20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  <w:lang w:val="en-US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Программа «Модернизация экономики и улучшение инвестиционного климата»</w:t>
            </w:r>
          </w:p>
          <w:p w:rsidR="00C31F9E" w:rsidRDefault="00C31F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C31F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1 260,00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410,00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0,</w:t>
            </w: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835,00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b/>
                <w:bCs/>
                <w:color w:val="222222"/>
              </w:rPr>
              <w:t>15,00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I</w:t>
            </w:r>
          </w:p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lang w:val="en-US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color w:val="222222"/>
                <w:lang w:eastAsia="ar-SA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C31F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850,00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835,00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b/>
                <w:bCs/>
                <w:color w:val="222222"/>
              </w:rPr>
              <w:t>15,00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lastRenderedPageBreak/>
              <w:t>1.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91414"/>
                <w:lang w:eastAsia="ar-SA"/>
              </w:rPr>
            </w:pPr>
            <w:r>
              <w:rPr>
                <w:rFonts w:ascii="Times New Roman" w:eastAsia="Cambria" w:hAnsi="Times New Roman" w:cs="Times New Roman"/>
                <w:color w:val="030303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и инвестиций администрации Петровского городского округа Ставропольского края (далее – начальник отдела стратегического планирования)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9141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bookmarkStart w:id="2" w:name="__DdeLink__6075_1524579187"/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  <w:bookmarkEnd w:id="2"/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1. 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Инвестиционный паспорт разработан и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- округ, официальный сайт администрации)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2.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Обеспечено сопровождение раздела «Инвестиционный портал» на официальном сайте администрации, и ведение страницы </w:t>
            </w: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lastRenderedPageBreak/>
              <w:t>социальной сети «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Инстаграмм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lang w:val="en-US" w:eastAsia="ar-SA"/>
              </w:rPr>
              <w:lastRenderedPageBreak/>
              <w:t>2</w:t>
            </w:r>
            <w:r>
              <w:rPr>
                <w:rFonts w:ascii="Times New Roman" w:eastAsia="Cambria" w:hAnsi="Times New Roman" w:cs="Times New Roman"/>
                <w:lang w:eastAsia="ar-SA"/>
              </w:rPr>
              <w:t>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color w:val="030303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ar-SA"/>
              </w:rPr>
              <w:t>начальник отдела стратегического планирования Кириленко Л.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ar-SA"/>
              </w:rPr>
              <w:t>В</w:t>
            </w:r>
            <w:proofErr w:type="gramEnd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850,00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835,00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3. 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Мониторинг инвестиционных вложений и </w:t>
            </w:r>
            <w:proofErr w:type="gramStart"/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инвестиционных проектов, реализуемых на территории округа выполнен</w:t>
            </w:r>
            <w:proofErr w:type="gram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20.01.2021,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20.04.2021,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20.07.2021,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20.10.2021</w:t>
            </w:r>
          </w:p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4.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Заседание Совета по улучшению инвестиционного климата в Петровском городском округе Ставропольского края проведено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3.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5. 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Информационная и консультационная поддержка субъектам инвестиционной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деятельности</w:t>
            </w: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</w:rPr>
              <w:t xml:space="preserve"> оказана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 (при обращении инвестора)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6.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Перечень объектов, в отношении которых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планируется заключение концессионных соглашений утвержден</w:t>
            </w:r>
            <w:proofErr w:type="gram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bookmarkStart w:id="3" w:name="__DdeLink__4028_848578243"/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  <w:bookmarkEnd w:id="3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01.02.2021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4.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Реализация регионального проекта «Адресная поддержка на предприятиях»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31F9E" w:rsidRDefault="0073365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9C3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4.1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7.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Информирование, вовлечение предприятий округа в реализацию регионального проекта «Адресная поддержка на предприятиях»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обеспечено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222222"/>
              </w:rPr>
              <w:t>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/>
                <w:color w:val="222222"/>
                <w:lang w:eastAsia="ar-SA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C31F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410,00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410,00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b/>
                <w:bCs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5.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>Финансовая поддержка субъектов малого и среднего предпринимательства (далее - МСП)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__DdeLink__2031_2837719241"/>
            <w:r>
              <w:rPr>
                <w:rFonts w:ascii="Times New Roman" w:hAnsi="Times New Roman" w:cs="Times New Roman"/>
                <w:color w:val="222222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</w:t>
            </w:r>
            <w:bookmarkEnd w:id="4"/>
            <w:r>
              <w:rPr>
                <w:rFonts w:ascii="Times New Roman" w:hAnsi="Times New Roman" w:cs="Times New Roman"/>
                <w:color w:val="222222"/>
              </w:rPr>
              <w:t xml:space="preserve"> края (далее – начальник отдела развития </w:t>
            </w:r>
            <w:r>
              <w:rPr>
                <w:rFonts w:ascii="Times New Roman" w:hAnsi="Times New Roman" w:cs="Times New Roman"/>
                <w:color w:val="222222"/>
              </w:rPr>
              <w:lastRenderedPageBreak/>
              <w:t xml:space="preserve">предпринимательства)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200,00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5.1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Контрольное событие 8.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Конкурсный отбор субъектов МСП для предоставления грантов за счет средств бюджета проведен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i/>
                <w:iCs/>
                <w:color w:val="222222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5.2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9.</w:t>
            </w:r>
          </w:p>
          <w:p w:rsidR="00C31F9E" w:rsidRDefault="0073365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Протокол заседания конкурсной комиссии, реестр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субъектов МСП получателей муниципальной поддержки на официальном сайте администрации  размещен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i/>
                <w:iCs/>
                <w:color w:val="222222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5.3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Контрольное событие 10.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Мониторинг результатов хозяйственной деятельности субъектов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МСП размещен на официальном сайте администрации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29.01.2021,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30.04.2021,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30.07.2021,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29.10.2021</w:t>
            </w:r>
          </w:p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Реализация регионального проекта  «Популяризация предпринимательства»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210,00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210,00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6.1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11.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lastRenderedPageBreak/>
              <w:t>Актуальная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 xml:space="preserve"> информации об особенностях режима для занятых в сфере МСП, включая индивидуальных предпринимателей на официальном сайте администрации  размещена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начальник отдела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развития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lastRenderedPageBreak/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6.2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12.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Ежегодный окружной конкурс «Предприниматель года»  в офлайн формате проведен 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Зубакина И.А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6.3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13.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Торжественное мероприятие, посвященное празднованию на территории округа «Дня российского предпринимательства», проведено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31.05.2021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6.4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14.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Фестиваль «Праздник хлеба» проведен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31.10.2021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C31F9E">
        <w:trPr>
          <w:trHeight w:val="2777"/>
        </w:trPr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6.5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15.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Проведение совещаний, семинаров, «круглых столов», конференций, оказание информационной поддержки МСП обеспечено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6.6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16.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Заседание координационного совета по развитию МСП проведено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7.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mbria"/>
                <w:color w:val="222222"/>
                <w:sz w:val="22"/>
                <w:szCs w:val="22"/>
                <w:lang w:eastAsia="ar-SA"/>
              </w:rPr>
              <w:t>Контроль за</w:t>
            </w:r>
            <w:proofErr w:type="gramEnd"/>
            <w:r>
              <w:rPr>
                <w:rFonts w:eastAsia="Cambria"/>
                <w:color w:val="222222"/>
                <w:sz w:val="22"/>
                <w:szCs w:val="22"/>
                <w:lang w:eastAsia="ar-SA"/>
              </w:rPr>
              <w:t xml:space="preserve">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7.1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17.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Рейдовые мероприятия по ликвидации стихийной торговли, продукцией без соответствующих документов проведены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7.2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18.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91414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lastRenderedPageBreak/>
              <w:t>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 xml:space="preserve">начальник отдела развития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 xml:space="preserve">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i/>
                <w:iCs/>
                <w:color w:val="222222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 xml:space="preserve">до 30.06.2021,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lastRenderedPageBreak/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7.3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19.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Консультационная помощь потребителям в области торговли, общественного питания, бытового обслуживания по вопросам обеспечения защиты прав потребителей оказана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 (при обращении заявителей)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7.4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20.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Аукционы на право заключения договоров на размещение нестационарных торговых объектов проведены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до 30.12.2021 (при обращении заявителей)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7.5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21.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Мониторинг обеспеченности населения округа площадью торговых объектов, осуществлен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Зубакина И.А.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до 29.01.2021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C31F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8.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>Проведение ярмарок на территории округа с участием ставропольских товаропроизводителей</w:t>
            </w:r>
          </w:p>
          <w:p w:rsidR="00C31F9E" w:rsidRDefault="00C31F9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22222"/>
                <w:lang w:eastAsia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8.1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Контрольное событие 22.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График проведения ярмарочных мероприятий на 2022  год утвержден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23.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Весенние выставки-ярмарки потребительских товаров под девизом «Покупай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ставропольское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!» проведены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30.04.2021</w:t>
            </w:r>
          </w:p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highlight w:val="yellow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24.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Осенняя выставка-ярмарка сельскохозяйственной продукции и потребительских товаров под девизом «Покупай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ставропольское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!» проведена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31.10.2021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25.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Предновогодняя праздничная выставка-ярмарка в рамках </w:t>
            </w: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lastRenderedPageBreak/>
              <w:t xml:space="preserve">празднования Нового года и Рождества Христова под девизом «Покупай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ставропольское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!» проведена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8.5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26.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Еженедельные ярмарки на территории сельских населенных пунктов округа проведены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31.12.20201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8.6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27.</w:t>
            </w:r>
          </w:p>
          <w:p w:rsidR="00C31F9E" w:rsidRDefault="007336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Информация о проведении выставок-ярмарок размещена на официальном сайте администрации и в районной газете «Петровские вести»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начальник отдела развития предпринимательства 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Зубакина И.А.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III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/>
                <w:color w:val="222222"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C31F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9.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Cs/>
                <w:color w:val="222222"/>
                <w:lang w:eastAsia="ar-SA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28.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 xml:space="preserve">Проект корректировки Стратегии социально-экономического </w:t>
            </w:r>
            <w:r>
              <w:rPr>
                <w:rFonts w:ascii="Times New Roman" w:hAnsi="Times New Roman"/>
                <w:i/>
                <w:iCs/>
                <w:color w:val="222222"/>
              </w:rPr>
              <w:lastRenderedPageBreak/>
              <w:t>развития Петровского городского округа Ставропольского края до 2035 года</w:t>
            </w: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 представлен в Совет депутатов Петровского городского округа Ставропольского края</w:t>
            </w: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 xml:space="preserve"> для утверждения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</w:t>
            </w:r>
            <w:bookmarkStart w:id="5" w:name="__DdeLink__4344_1777876746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о 01.02.202</w:t>
            </w:r>
            <w:bookmarkEnd w:id="5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9.2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29.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Прогноз социально-экономического развития округа на среднесрочный период одобрен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15.11.2021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9.3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30.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Изменения в  Прогноз социально-экономического развития округа на долгосрочный период внесены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9.4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Контрольное событие 31. 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Муниципальные программы актуализированы (утверждены)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9.5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32.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 xml:space="preserve">Изменения в нормативные правовые акты администрации округа, регламентирующие </w:t>
            </w: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lastRenderedPageBreak/>
              <w:t>порядок разработки, корректировки, осуществления мониторинга и контроля документов стратегического планирования утверждены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9.6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33.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Информация о социально-экономическом развитии округа размещена на официальном сайте администрации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10.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10.1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34.</w:t>
            </w:r>
          </w:p>
          <w:p w:rsidR="00C31F9E" w:rsidRDefault="007336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</w:t>
            </w: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lastRenderedPageBreak/>
              <w:t>планирования осуществлена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22222"/>
              </w:rPr>
              <w:t>до 30.12.2021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11.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  <w:p w:rsidR="00C31F9E" w:rsidRDefault="00C31F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C31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35.</w:t>
            </w:r>
          </w:p>
          <w:p w:rsidR="00C31F9E" w:rsidRDefault="0073365B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rFonts w:eastAsia="Cambria"/>
                <w:i/>
                <w:iCs/>
                <w:color w:val="222222"/>
                <w:sz w:val="22"/>
                <w:szCs w:val="22"/>
                <w:lang w:eastAsia="ar-SA"/>
              </w:rPr>
              <w:t>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>до 15.04.2021,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>до 16.08.2021,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>до 15.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11.2021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11.2</w:t>
            </w:r>
          </w:p>
        </w:tc>
        <w:tc>
          <w:tcPr>
            <w:tcW w:w="2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Контрольное событие 36. Отчетность по документам стратегического планирования, подлежащим мониторингу, контролю реализации за 2020 год сформирована и представлена на рассмотрение администрации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до 30.04.2021,</w:t>
            </w:r>
          </w:p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до 02.08.2021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C31F9E"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22222"/>
              </w:rPr>
              <w:t>11.3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37.</w:t>
            </w:r>
          </w:p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Отчетность по документам стратегического </w:t>
            </w: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lastRenderedPageBreak/>
              <w:t xml:space="preserve">планирования за 2020 год размещена в федеральном государственном реестре документов стратегического планирования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F9E" w:rsidRDefault="00733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222222"/>
              </w:rPr>
              <w:t xml:space="preserve">до 30.12.2021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1F9E" w:rsidRDefault="0073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</w:tr>
    </w:tbl>
    <w:p w:rsidR="00C31F9E" w:rsidRDefault="00C31F9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lang w:eastAsia="en-US"/>
        </w:rPr>
      </w:pPr>
    </w:p>
    <w:p w:rsidR="00C31F9E" w:rsidRDefault="00C31F9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lang w:eastAsia="en-US"/>
        </w:rPr>
      </w:pPr>
    </w:p>
    <w:p w:rsidR="00C31F9E" w:rsidRDefault="00C31F9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lang w:eastAsia="en-US"/>
        </w:rPr>
      </w:pPr>
    </w:p>
    <w:p w:rsidR="00C31F9E" w:rsidRDefault="0073365B">
      <w:pPr>
        <w:spacing w:after="0" w:line="240" w:lineRule="exact"/>
      </w:pPr>
      <w:proofErr w:type="gramStart"/>
      <w:r>
        <w:rPr>
          <w:rFonts w:ascii="Times New Roman" w:eastAsia="Cambria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 обязанности </w:t>
      </w:r>
    </w:p>
    <w:p w:rsidR="00C31F9E" w:rsidRDefault="0073365B">
      <w:pPr>
        <w:spacing w:after="0" w:line="240" w:lineRule="exact"/>
      </w:pPr>
      <w:r>
        <w:rPr>
          <w:rFonts w:ascii="Times New Roman" w:eastAsia="Cambria" w:hAnsi="Times New Roman" w:cs="Times New Roman"/>
          <w:sz w:val="28"/>
          <w:szCs w:val="28"/>
        </w:rPr>
        <w:t>управляющего делами администрации</w:t>
      </w:r>
    </w:p>
    <w:p w:rsidR="00C31F9E" w:rsidRDefault="0073365B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C31F9E" w:rsidRDefault="0073365B">
      <w:pPr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sectPr w:rsidR="00C31F9E">
      <w:pgSz w:w="16838" w:h="11906" w:orient="landscape"/>
      <w:pgMar w:top="1418" w:right="567" w:bottom="1020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E"/>
    <w:rsid w:val="003C4B00"/>
    <w:rsid w:val="004C6114"/>
    <w:rsid w:val="0073365B"/>
    <w:rsid w:val="00753353"/>
    <w:rsid w:val="00AD2CD7"/>
    <w:rsid w:val="00B94B0A"/>
    <w:rsid w:val="00C3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CFFF-CA87-4AFC-A107-B0A3AE72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2020-12-23T10:48:00Z</cp:lastPrinted>
  <dcterms:created xsi:type="dcterms:W3CDTF">2020-12-23T10:48:00Z</dcterms:created>
  <dcterms:modified xsi:type="dcterms:W3CDTF">2021-01-29T06:18:00Z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