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D" w:rsidRDefault="002A1EE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proofErr w:type="gramStart"/>
      <w:r>
        <w:rPr>
          <w:rFonts w:ascii="Times New Roman" w:eastAsia="Calibri" w:hAnsi="Times New Roman"/>
          <w:b/>
          <w:sz w:val="32"/>
          <w:szCs w:val="32"/>
          <w:lang w:eastAsia="en-US"/>
        </w:rPr>
        <w:t>Р</w:t>
      </w:r>
      <w:proofErr w:type="gramEnd"/>
      <w:r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А С П О Р Я Ж Е Н И Е</w:t>
      </w:r>
    </w:p>
    <w:p w:rsidR="007E5E6D" w:rsidRDefault="007E5E6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7E5E6D" w:rsidRDefault="002A1EE9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 СТАВРОПОЛЬСКОГО КРАЯ</w:t>
      </w:r>
    </w:p>
    <w:p w:rsidR="007E5E6D" w:rsidRDefault="007E5E6D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35"/>
        <w:gridCol w:w="3168"/>
        <w:gridCol w:w="3153"/>
      </w:tblGrid>
      <w:tr w:rsidR="007E5E6D">
        <w:trPr>
          <w:trHeight w:val="208"/>
        </w:trPr>
        <w:tc>
          <w:tcPr>
            <w:tcW w:w="3035" w:type="dxa"/>
            <w:shd w:val="clear" w:color="auto" w:fill="auto"/>
          </w:tcPr>
          <w:p w:rsidR="007E5E6D" w:rsidRDefault="00641222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2021 г.</w:t>
            </w:r>
          </w:p>
        </w:tc>
        <w:tc>
          <w:tcPr>
            <w:tcW w:w="3168" w:type="dxa"/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53" w:type="dxa"/>
            <w:shd w:val="clear" w:color="auto" w:fill="auto"/>
          </w:tcPr>
          <w:p w:rsidR="007E5E6D" w:rsidRDefault="00361A90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851</w:t>
            </w:r>
            <w:r w:rsidR="00641222">
              <w:rPr>
                <w:rFonts w:ascii="Times New Roman" w:hAnsi="Times New Roman"/>
                <w:sz w:val="24"/>
                <w:szCs w:val="24"/>
              </w:rPr>
              <w:t>-р</w:t>
            </w:r>
          </w:p>
        </w:tc>
      </w:tr>
    </w:tbl>
    <w:p w:rsidR="007E5E6D" w:rsidRDefault="007E5E6D">
      <w:pPr>
        <w:snapToGri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7E5E6D" w:rsidRDefault="007E5E6D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E6D" w:rsidRDefault="002A1EE9">
      <w:pPr>
        <w:spacing w:after="0" w:line="240" w:lineRule="exact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</w:t>
      </w:r>
      <w:r w:rsidR="007D30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2022 год</w:t>
      </w:r>
    </w:p>
    <w:p w:rsidR="007E5E6D" w:rsidRDefault="007E5E6D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7E5E6D" w:rsidRDefault="007E5E6D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7E5E6D" w:rsidRDefault="002A1EE9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края, утверждённым постановлением администрации Петровского городского округа Ставропольского края от 11 апреля 2018 г. года № 528 (в редакции от 30 августа 2018 г. № 1547, от 11 января 2019 г.    № 9, от 08 августа 2019 г. № 1645, от 06 июля 2020 г. № 867,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22 сентября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2021 года № 1529</w:t>
      </w:r>
      <w:r>
        <w:rPr>
          <w:rFonts w:ascii="Times New Roman" w:hAnsi="Times New Roman"/>
          <w:sz w:val="28"/>
          <w:szCs w:val="28"/>
        </w:rPr>
        <w:t>), распоряжением администрации Петровского городского округа Ставропольского края от 18 апреля 2018 г. № 206-р «</w:t>
      </w:r>
      <w:r>
        <w:rPr>
          <w:rFonts w:ascii="Times New Roman" w:hAnsi="Times New Roman" w:cs="Arial"/>
          <w:bCs/>
          <w:sz w:val="28"/>
          <w:szCs w:val="28"/>
        </w:rPr>
        <w:t xml:space="preserve">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Arial"/>
          <w:bCs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» (в редакции от 19 октября 2018 г. № 571-р, от 04 декабря 2018 г. № 656-р, от </w:t>
      </w:r>
      <w:r w:rsidR="007D305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20 сентября 2019 г. № 554-р, от 02 июля 2020 г. № 370-р) и в 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муниципальной программы Петровского городского округа Ставропольского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«Модернизация экономики и улучшение инвестиционного климата», утвержденной постановлением администрации Петровского городского округа Ставропольског</w:t>
      </w:r>
      <w:r>
        <w:rPr>
          <w:rFonts w:ascii="Times New Roman" w:eastAsia="Calibri" w:hAnsi="Times New Roman"/>
          <w:color w:val="222222"/>
          <w:sz w:val="28"/>
          <w:szCs w:val="28"/>
          <w:lang w:eastAsia="en-US"/>
        </w:rPr>
        <w:t xml:space="preserve">о края от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13 ноября 2020 г. </w:t>
      </w:r>
      <w:r w:rsidR="007D3058"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US"/>
        </w:rPr>
        <w:t>№ 1569 (в редакции от 10 марта 2021 г. № 373, от 26 августа 2021 г. № 1394)</w:t>
      </w:r>
    </w:p>
    <w:p w:rsidR="007E5E6D" w:rsidRDefault="007E5E6D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7E5E6D" w:rsidRDefault="007E5E6D">
      <w:pPr>
        <w:spacing w:after="0" w:line="240" w:lineRule="exact"/>
        <w:jc w:val="both"/>
        <w:rPr>
          <w:rFonts w:ascii="Times New Roman" w:eastAsia="Calibri" w:hAnsi="Times New Roman"/>
          <w:color w:val="222222"/>
          <w:sz w:val="28"/>
          <w:szCs w:val="28"/>
          <w:lang w:eastAsia="en-US"/>
        </w:rPr>
      </w:pPr>
    </w:p>
    <w:p w:rsidR="007E5E6D" w:rsidRDefault="007E5E6D">
      <w:pPr>
        <w:spacing w:after="0" w:line="240" w:lineRule="exact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</w:p>
    <w:p w:rsidR="007E5E6D" w:rsidRDefault="002A1EE9">
      <w:pPr>
        <w:pStyle w:val="aa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Утвердить прилагаемый детальный план-график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2022 год. </w:t>
      </w:r>
    </w:p>
    <w:p w:rsidR="007E5E6D" w:rsidRDefault="007E5E6D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5E6D" w:rsidRDefault="002A1EE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 заместителя главы администрации Петровского городского округа Ставропольского края Сергееву Е.И. </w:t>
      </w:r>
    </w:p>
    <w:p w:rsidR="007E5E6D" w:rsidRDefault="007E5E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5E6D" w:rsidRDefault="002A1EE9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Настоящее распоряжение «Об утверждении детального плана-графика реализации муниципальной программы Петровского городского округа Ставропольского края «Модернизация экономики и улучшение инвестиционного климата» на 2022 год» вступает в силу с 01 января 2022 г.</w:t>
      </w:r>
    </w:p>
    <w:p w:rsidR="007E5E6D" w:rsidRDefault="007E5E6D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E6D" w:rsidRDefault="007E5E6D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E5E6D" w:rsidRDefault="002A1EE9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Петровского </w:t>
      </w:r>
    </w:p>
    <w:p w:rsidR="007E5E6D" w:rsidRDefault="002A1EE9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городского округа </w:t>
      </w:r>
    </w:p>
    <w:p w:rsidR="007E5E6D" w:rsidRDefault="002A1EE9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А.А.Захарченко</w:t>
      </w:r>
      <w:proofErr w:type="spellEnd"/>
    </w:p>
    <w:p w:rsidR="007E5E6D" w:rsidRDefault="002A1EE9">
      <w:pPr>
        <w:tabs>
          <w:tab w:val="left" w:pos="9355"/>
        </w:tabs>
        <w:spacing w:after="0" w:line="240" w:lineRule="exact"/>
        <w:jc w:val="right"/>
        <w:sectPr w:rsidR="007E5E6D" w:rsidSect="007D3058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bookmarkStart w:id="0" w:name="_GoBack"/>
      <w:bookmarkEnd w:id="0"/>
      <w:r w:rsidRPr="00641222">
        <w:rPr>
          <w:color w:val="FFFFFF" w:themeColor="background1"/>
        </w:rPr>
        <w:t xml:space="preserve">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tbl>
      <w:tblPr>
        <w:tblW w:w="14366" w:type="dxa"/>
        <w:tblLook w:val="01E0" w:firstRow="1" w:lastRow="1" w:firstColumn="1" w:lastColumn="1" w:noHBand="0" w:noVBand="0"/>
      </w:tblPr>
      <w:tblGrid>
        <w:gridCol w:w="9462"/>
        <w:gridCol w:w="4904"/>
      </w:tblGrid>
      <w:tr w:rsidR="007E5E6D">
        <w:trPr>
          <w:trHeight w:val="245"/>
        </w:trPr>
        <w:tc>
          <w:tcPr>
            <w:tcW w:w="9461" w:type="dxa"/>
            <w:shd w:val="clear" w:color="auto" w:fill="auto"/>
          </w:tcPr>
          <w:p w:rsidR="007E5E6D" w:rsidRDefault="007E5E6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7E5E6D" w:rsidRDefault="002A1EE9">
            <w:pPr>
              <w:tabs>
                <w:tab w:val="left" w:pos="1185"/>
                <w:tab w:val="center" w:pos="2018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7E5E6D">
        <w:trPr>
          <w:trHeight w:val="735"/>
        </w:trPr>
        <w:tc>
          <w:tcPr>
            <w:tcW w:w="9461" w:type="dxa"/>
            <w:shd w:val="clear" w:color="auto" w:fill="auto"/>
          </w:tcPr>
          <w:p w:rsidR="007E5E6D" w:rsidRDefault="007E5E6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7E5E6D" w:rsidRDefault="002A1EE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распоряжением администрации Петровского городского округа                      Ставропольского края</w:t>
            </w:r>
          </w:p>
          <w:p w:rsidR="007E5E6D" w:rsidRDefault="00361A90" w:rsidP="006412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21 декабря 2021 г. № 851</w:t>
            </w:r>
            <w:r w:rsidR="006412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</w:p>
        </w:tc>
      </w:tr>
      <w:tr w:rsidR="007E5E6D">
        <w:trPr>
          <w:trHeight w:val="258"/>
        </w:trPr>
        <w:tc>
          <w:tcPr>
            <w:tcW w:w="9461" w:type="dxa"/>
            <w:shd w:val="clear" w:color="auto" w:fill="auto"/>
          </w:tcPr>
          <w:p w:rsidR="007E5E6D" w:rsidRDefault="007E5E6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7E5E6D" w:rsidRDefault="007E5E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5E6D">
        <w:trPr>
          <w:trHeight w:val="245"/>
        </w:trPr>
        <w:tc>
          <w:tcPr>
            <w:tcW w:w="9461" w:type="dxa"/>
            <w:shd w:val="clear" w:color="auto" w:fill="auto"/>
          </w:tcPr>
          <w:p w:rsidR="007E5E6D" w:rsidRDefault="007E5E6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shd w:val="clear" w:color="auto" w:fill="auto"/>
          </w:tcPr>
          <w:p w:rsidR="007E5E6D" w:rsidRDefault="007E5E6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E5E6D" w:rsidRDefault="002A1EE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1" w:name="P1356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ДЕТАЛЬНЫЙ ПЛАН-ГРАФИК </w:t>
      </w:r>
    </w:p>
    <w:p w:rsidR="007E5E6D" w:rsidRDefault="002A1EE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реализации муниципальной программы Петровского городского округа Ставропольского края </w:t>
      </w:r>
    </w:p>
    <w:p w:rsidR="007E5E6D" w:rsidRDefault="002A1EE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«Модернизация экономики и улучшение инвестиционного климата»</w:t>
      </w:r>
    </w:p>
    <w:p w:rsidR="007E5E6D" w:rsidRDefault="002A1EE9">
      <w:pPr>
        <w:widowControl w:val="0"/>
        <w:spacing w:after="0" w:line="240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 2022 год</w:t>
      </w:r>
    </w:p>
    <w:p w:rsidR="007E5E6D" w:rsidRDefault="007E5E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28" w:type="dxa"/>
        <w:tblInd w:w="5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198"/>
        <w:gridCol w:w="1842"/>
        <w:gridCol w:w="1418"/>
        <w:gridCol w:w="992"/>
        <w:gridCol w:w="993"/>
        <w:gridCol w:w="1842"/>
        <w:gridCol w:w="1312"/>
        <w:gridCol w:w="1440"/>
        <w:gridCol w:w="1784"/>
      </w:tblGrid>
      <w:tr w:rsidR="007E5E6D" w:rsidTr="007D3058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/п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Ответственный исполнитель (должность Ф.И.О)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Дата наступления контрольного события 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Объемы и источники финансового обеспечения Программы, </w:t>
            </w:r>
          </w:p>
          <w:p w:rsidR="007E5E6D" w:rsidRDefault="002A1EE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7E5E6D" w:rsidTr="007D3058">
        <w:trPr>
          <w:trHeight w:val="555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3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Налоговые расходы бюджета округа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Средства участников Программы</w:t>
            </w:r>
          </w:p>
        </w:tc>
      </w:tr>
      <w:tr w:rsidR="007E5E6D" w:rsidTr="007D3058">
        <w:trPr>
          <w:trHeight w:val="1616"/>
        </w:trPr>
        <w:tc>
          <w:tcPr>
            <w:tcW w:w="507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Бюджет округа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ConsPlusNormal"/>
              <w:jc w:val="center"/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краевого бюджета</w:t>
            </w:r>
          </w:p>
        </w:tc>
        <w:tc>
          <w:tcPr>
            <w:tcW w:w="131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pStyle w:val="ConsPlusNormal"/>
              <w:jc w:val="center"/>
              <w:rPr>
                <w:sz w:val="22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юридические лица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индивидуальные предприниматели, физические лица</w:t>
            </w:r>
          </w:p>
        </w:tc>
      </w:tr>
      <w:tr w:rsidR="007E5E6D" w:rsidTr="007D3058">
        <w:trPr>
          <w:trHeight w:val="111"/>
        </w:trPr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7E5E6D" w:rsidTr="007D3058">
        <w:trPr>
          <w:trHeight w:val="202"/>
        </w:trPr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  <w:lang w:val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Программа «Модернизация экономики и улучшение инвестиционного климата»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начальник отдела стратегического планирования и инвестиций администрации Петровского городского округа Ставропольского края (далее – начальник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lastRenderedPageBreak/>
              <w:t>отдела стратегического планирования)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11248,00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uppressLineNumbers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390,00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0,</w:t>
            </w: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840,00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222222"/>
              </w:rPr>
              <w:t>18,00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lastRenderedPageBreak/>
              <w:t>I</w:t>
            </w:r>
          </w:p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lang w:val="en-US"/>
              </w:rPr>
            </w:pP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lang w:eastAsia="ar-SA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  <w:lang w:eastAsia="ar-SA"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858,00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22222"/>
              </w:rPr>
              <w:t>840,00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pStyle w:val="ac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222222"/>
              </w:rPr>
              <w:t>18,00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1.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91414"/>
                <w:lang w:eastAsia="ar-SA"/>
              </w:rPr>
            </w:pPr>
            <w:r>
              <w:rPr>
                <w:rFonts w:ascii="Times New Roman" w:eastAsia="Cambria" w:hAnsi="Times New Roman" w:cs="Times New Roman"/>
                <w:color w:val="030303"/>
                <w:lang w:eastAsia="ar-SA"/>
              </w:rPr>
              <w:t>Формирование инвестиционной привлекательности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bookmarkStart w:id="2" w:name="__DdeLink__6075_1524579187"/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  <w:bookmarkEnd w:id="2"/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1. 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Инвестиционный паспорт разработан и размещен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округ, официальный сайт администрации)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2.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Обеспечено сопровождение раздела «Инвестиционный </w:t>
            </w: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lastRenderedPageBreak/>
              <w:t>портал» на официальном сайте администрации и ведение страницы социальной сети «</w:t>
            </w:r>
            <w:proofErr w:type="spellStart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Инстаграмм</w:t>
            </w:r>
            <w:proofErr w:type="spellEnd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lang w:val="en-US" w:eastAsia="ar-SA"/>
              </w:rPr>
              <w:lastRenderedPageBreak/>
              <w:t>2</w:t>
            </w:r>
            <w:r>
              <w:rPr>
                <w:rFonts w:ascii="Times New Roman" w:eastAsia="Cambria" w:hAnsi="Times New Roman" w:cs="Times New Roman"/>
                <w:lang w:eastAsia="ar-SA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color w:val="030303"/>
              </w:rPr>
              <w:t>Организация работы по мониторингу и сопровождению инвестиционных проектов, реализуемых на территории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начальник отдела стратегического планирования Кириленко Л.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858,00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840,00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222222"/>
              </w:rPr>
              <w:t>18,00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2.1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3. 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Мониторинг инвестиционных вложений и </w:t>
            </w:r>
            <w:proofErr w:type="gramStart"/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инвестиционных проектов, реализуемых на территории округа выполнен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20.01.2022,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20.04.2022,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20.07.2022,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20.10.2022</w:t>
            </w:r>
          </w:p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2.2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4.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Заседание Совета по улучшению инвестиционного климата в Петровском городском округе Ставропольского края проведено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31.03.2021,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3.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 xml:space="preserve">Предоставление мер муниципальной поддержки субъектам инвестиционной </w:t>
            </w: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lastRenderedPageBreak/>
              <w:t>деятельности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3.1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5. 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Информационная и консультационная поддержка субъектам инвестиционной деятельности</w:t>
            </w: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</w:rPr>
              <w:t xml:space="preserve"> оказана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 (при обращении инвестора)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3.2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6.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Перечень объектов, в отношении которых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планируется заключение концессионных соглашений утвержден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bookmarkStart w:id="3" w:name="__DdeLink__4028_848578243"/>
            <w:r>
              <w:rPr>
                <w:rFonts w:ascii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  <w:bookmarkEnd w:id="3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01.02.2022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4.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Реализация регионального проекта «Адресная поддержка на предприятиях»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4.1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7.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Информирование, вовлечение предприятий округа в реализацию регионального проекта «Адресная поддержка на предприятиях»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обеспечено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lang w:eastAsia="ar-SA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222222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  <w:lang w:eastAsia="ar-SA"/>
              </w:rPr>
              <w:t xml:space="preserve">Подпрограмма «Поддержка и </w:t>
            </w:r>
            <w:r>
              <w:rPr>
                <w:rFonts w:ascii="Times New Roman" w:eastAsia="Cambria" w:hAnsi="Times New Roman" w:cs="Times New Roman"/>
                <w:b/>
                <w:color w:val="222222"/>
                <w:lang w:eastAsia="ar-SA"/>
              </w:rPr>
              <w:lastRenderedPageBreak/>
              <w:t>развитие малого и среднего предпринимательства»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F914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первый заместитель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222222"/>
              </w:rPr>
              <w:t>390,00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222222"/>
              </w:rPr>
              <w:t>390,00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b/>
                <w:bCs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5.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>Финансовая поддержка субъектов малого и среднего предпринимательства (далее - МСП)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200,00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5.1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8.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 xml:space="preserve">Конкурсный отбор субъектов МСП для предоставления грантов за счет средств бюджета  Петровского городского округа Ставропольского </w:t>
            </w: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lastRenderedPageBreak/>
              <w:t>края проведен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первый заместитель главы администрации – начальник финансового управления 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lastRenderedPageBreak/>
              <w:t>5.2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9.</w:t>
            </w:r>
          </w:p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Протокол заседания конкурсной комиссии, реестр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субъектов МСП получателей муниципальной поддержки на официальном сайте администрации  размещен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i/>
                <w:iCs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5.3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10.</w:t>
            </w:r>
          </w:p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Мониторинг результатов хозяйственной деятельности субъектов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t xml:space="preserve"> МСП размещен на официальном сайте администрации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31.01.2022,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29.04.2022,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29.07.2022,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31.10.2022</w:t>
            </w:r>
          </w:p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pStyle w:val="western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Популяризация предпринимательства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color w:val="2222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первый заместитель главы администрации – начальник финансового управления администрации Петровского городского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6.1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11.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eastAsia="Cambria" w:hAnsi="Times New Roman" w:cs="Times New Roman"/>
                <w:i/>
                <w:iCs/>
                <w:lang w:eastAsia="ar-SA"/>
              </w:rPr>
              <w:t>Информация об особенностях налогового режима для занятых в сфере МСП, включая индивидуальных предпринимателей и самозанятых, о развитии пищевой и перерабатывающей промышленности, о торговом и бытовом обслуживании населения округа,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30303"/>
                <w:lang w:eastAsia="en-US"/>
              </w:rPr>
              <w:t xml:space="preserve">о проводимых семинарах,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30303"/>
                <w:lang w:eastAsia="en-US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30303"/>
                <w:lang w:eastAsia="en-US"/>
              </w:rPr>
              <w:t xml:space="preserve">, «круглых столов», конференциях, образовательных мероприятиях для субъектов </w:t>
            </w:r>
            <w:r>
              <w:rPr>
                <w:rFonts w:ascii="Times New Roman" w:eastAsia="Cambria" w:hAnsi="Times New Roman" w:cs="Times New Roman"/>
                <w:i/>
                <w:iCs/>
                <w:color w:val="030303"/>
                <w:lang w:eastAsia="ar-SA"/>
              </w:rPr>
              <w:t>МСП, включая индивидуальных предпринимателей и самозанятых, на официальном сайте администрации</w:t>
            </w: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размещена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6.2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</w:rPr>
              <w:t xml:space="preserve">Контрольное </w:t>
            </w:r>
            <w:r>
              <w:rPr>
                <w:rFonts w:ascii="Times New Roman" w:eastAsia="Cambria" w:hAnsi="Times New Roman" w:cs="Times New Roman"/>
                <w:i/>
                <w:iCs/>
              </w:rPr>
              <w:lastRenderedPageBreak/>
              <w:t>событие 12.</w:t>
            </w:r>
          </w:p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Конкурс по парикмахерскому искусству и ногтевому сервису в рамках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празднования Дня работников бытового обслуживания населения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и жилищно-коммунального хозяйства проведен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первый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31.03.2022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6.3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13.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Торжественное мероприятие, посвященное празднованию на территории округа Дня российского предпринимательства проведено</w:t>
            </w:r>
            <w:proofErr w:type="gramEnd"/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31.05.2022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6.4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14.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Фестиваль «Праздник хлеба» проведен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первый заместитель главы администрации – начальник финансового управления 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31.10.2022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rPr>
          <w:trHeight w:val="2777"/>
        </w:trPr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6.5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15.</w:t>
            </w:r>
          </w:p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Проведение совещаний, семинаров, «круглых столов», конференций, оказание информационной поддержки субъектам МСП, включая индивидуальных предпринимателей и самозанятых, обеспечено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6.6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16.</w:t>
            </w:r>
          </w:p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Заседание координационного совета по развитию МСП проведено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6.7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Контрольное событие 17.</w:t>
            </w:r>
          </w:p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Мониторинг количества </w:t>
            </w:r>
            <w:r>
              <w:rPr>
                <w:rFonts w:ascii="Times New Roman" w:hAnsi="Times New Roman"/>
                <w:i/>
                <w:iCs/>
              </w:rPr>
              <w:lastRenderedPageBreak/>
              <w:t>субъектов МСП, включая индивидуальных предпринимателей и самозанятых, осуществлен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первый заместитель главы администрации – начальник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до 29.04.2022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lastRenderedPageBreak/>
              <w:t>7.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pStyle w:val="ConsPlusNormal"/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Fonts w:eastAsia="Cambria"/>
                <w:color w:val="222222"/>
                <w:sz w:val="22"/>
                <w:szCs w:val="22"/>
                <w:lang w:eastAsia="ar-SA"/>
              </w:rPr>
              <w:t>Контроль за</w:t>
            </w:r>
            <w:proofErr w:type="gramEnd"/>
            <w:r>
              <w:rPr>
                <w:rFonts w:eastAsia="Cambria"/>
                <w:color w:val="222222"/>
                <w:sz w:val="22"/>
                <w:szCs w:val="22"/>
                <w:lang w:eastAsia="ar-SA"/>
              </w:rPr>
              <w:t xml:space="preserve">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color w:val="222222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7.1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18.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Рейдовые мероприятия по ликвидации стихийной торговли продукцией без соответствующих документов проведены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7.2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19.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91414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lastRenderedPageBreak/>
              <w:t>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доведена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первый заместитель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i/>
                <w:iCs/>
                <w:color w:val="22222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 xml:space="preserve">до 30.06.2022, </w:t>
            </w: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7.3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20.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Консультативная помощь потребителям в области торговли, общественного питания, бытового обслуживания по вопросам обеспечения защиты прав потребителей оказана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bookmarkStart w:id="4" w:name="__DdeLink__1949_3462881918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  <w:bookmarkEnd w:id="4"/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 (при обращении заявителей)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7.4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21.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Аукционы на право заключения договоров на размещение нестационарных торговых объектов (объектов по предоставлению услуг) проведены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первый заместитель главы администрации – начальник финансового управления администрации Петровского городского округа Ставропольского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до 30.12.2022 (при обращении заявителей)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7.5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Контрольное событие 22.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  <w:lang w:eastAsia="ar-SA"/>
              </w:rPr>
              <w:t>Мониторинг обеспеченности населения округа площадью торговых объектов осуществлен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</w:rPr>
              <w:t>до 31.01.2022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7E5E6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8.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color w:val="222222"/>
                <w:lang w:eastAsia="ar-SA"/>
              </w:rPr>
              <w:t>Проведение ярмарок на территории округа с участием ставропольских товаропроизводителей</w:t>
            </w:r>
          </w:p>
          <w:p w:rsidR="007E5E6D" w:rsidRDefault="007E5E6D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222222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9141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222222"/>
              </w:rPr>
              <w:t>90,00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8.1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</w:rPr>
              <w:t>Контрольное событие 23.</w:t>
            </w:r>
          </w:p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График проведения ярмарочных мероприятий на 2023  год утвержден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первый заместитель главы администрации – начальник финансового управления администрации Петровского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городского округа Ставропольского 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8.2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24.</w:t>
            </w:r>
          </w:p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Весенние выставки-ярмарки потребительских товаров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30.04.2022</w:t>
            </w:r>
          </w:p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highlight w:val="yellow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25.</w:t>
            </w:r>
          </w:p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Осенние выставки-ярмарки сельскохозяйственной продукции и потребительских товаров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31.10.2022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26.</w:t>
            </w:r>
          </w:p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Предновогодняя праздничная выставка-ярмарка в рамках празднования </w:t>
            </w: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lastRenderedPageBreak/>
              <w:t xml:space="preserve">Нового года и Рождества Христова под девизом «Покупай </w:t>
            </w:r>
            <w:proofErr w:type="gramStart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ставропольское</w:t>
            </w:r>
            <w:proofErr w:type="gramEnd"/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!» проведена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первый заместитель главы администрации – начальник финансового управления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до 31.12.2022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8.5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27.</w:t>
            </w:r>
          </w:p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 xml:space="preserve">Еженедельные ярмарки на территории сельских населенных пунктов округа проведены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начальник управления по делам территорий администрации Петровского городского округа Ставропольского края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Пунев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Е.И.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rPr>
          <w:trHeight w:val="564"/>
        </w:trPr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8.6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Контрольное событие 28.</w:t>
            </w:r>
          </w:p>
          <w:p w:rsidR="007E5E6D" w:rsidRDefault="002A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000000"/>
              </w:rPr>
              <w:t>Информация о проведении выставок-ярмарок размещена на официальном сайте администрации и в районной газете «Петровские вести»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tabs>
                <w:tab w:val="left" w:pos="9356"/>
              </w:tabs>
              <w:spacing w:after="0" w:line="240" w:lineRule="exact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первый заместитель главы администрации – начальник финансового управления администрации Петровского городского округа Ставропольского края Сухомлинова В.П.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2222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30.04.2022,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31.10.2022,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b/>
                <w:color w:val="222222"/>
                <w:lang w:val="en-US"/>
              </w:rPr>
              <w:t>III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/>
                <w:color w:val="222222"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начальник отдела стратегического планирования Кириленко Л.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В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9.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Cs/>
                <w:color w:val="222222"/>
                <w:lang w:eastAsia="ar-SA"/>
              </w:rPr>
              <w:t xml:space="preserve">Разработка и </w:t>
            </w:r>
            <w:r>
              <w:rPr>
                <w:rFonts w:ascii="Times New Roman" w:eastAsia="Cambria" w:hAnsi="Times New Roman" w:cs="Times New Roman"/>
                <w:bCs/>
                <w:color w:val="222222"/>
                <w:lang w:eastAsia="ar-SA"/>
              </w:rPr>
              <w:lastRenderedPageBreak/>
              <w:t>актуализация документов стратегического планирования округа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bookmarkStart w:id="5" w:name="__DdeLink__6055_4185652325"/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lastRenderedPageBreak/>
              <w:t>стратегического планирования Кириленко Л.В</w:t>
            </w:r>
            <w:bookmarkEnd w:id="5"/>
            <w:r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9.1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29.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Прогноз социально-экономического развития округа на среднесрочный период одобрен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15.11.2022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9.2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30.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Изменения в  Прогноз социально-экономического развития округа на долгосрочный период внесены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Контрольное событие 31. 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Муниципальные программы актуализированы (утверждены)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9.4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32.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 xml:space="preserve">Изменения в нормативные правовые акты администрации округа, регламентирующие порядок разработки, корректировки, осуществления мониторинга и </w:t>
            </w: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lastRenderedPageBreak/>
              <w:t>контроля документов стратегического планирования, утверждены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30.12.2022 (при необходимости)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lastRenderedPageBreak/>
              <w:t>9.5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33.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Информация о социально-экономическом развитии округа размещена на официальном сайте администрации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31.03.2022,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30.06.2022,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до 30.09.2022,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10.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10.1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34.</w:t>
            </w:r>
          </w:p>
          <w:p w:rsidR="007E5E6D" w:rsidRDefault="002A1EE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>10.2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 xml:space="preserve">Контрольное событие 35. </w:t>
            </w:r>
          </w:p>
          <w:p w:rsidR="007E5E6D" w:rsidRDefault="002A1EE9">
            <w:pPr>
              <w:widowControl w:val="0"/>
              <w:snapToGrid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Изменения в  документы стратегического планирования округа в федеральном государственном реестре документов стратегического планирования размещены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11.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ar-SA"/>
              </w:rPr>
              <w:t>Мониторинг и контроль реализации документов стратегического планирования округа</w:t>
            </w:r>
          </w:p>
          <w:p w:rsidR="007E5E6D" w:rsidRDefault="007E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ar-SA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7E5E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0,00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 w:cs="Times New Roman"/>
                <w:i/>
                <w:iCs/>
                <w:color w:val="222222"/>
              </w:rPr>
              <w:t>11.1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i/>
                <w:iCs/>
                <w:color w:val="222222"/>
                <w:lang w:eastAsia="ar-SA"/>
              </w:rPr>
              <w:t>Контрольное событие 36.</w:t>
            </w:r>
          </w:p>
          <w:p w:rsidR="007E5E6D" w:rsidRDefault="002A1EE9">
            <w:pPr>
              <w:pStyle w:val="ConsPlusNormal"/>
              <w:jc w:val="both"/>
              <w:rPr>
                <w:color w:val="222222"/>
                <w:sz w:val="22"/>
                <w:szCs w:val="22"/>
              </w:rPr>
            </w:pPr>
            <w:r>
              <w:rPr>
                <w:rFonts w:eastAsia="Cambria"/>
                <w:i/>
                <w:iCs/>
                <w:color w:val="222222"/>
                <w:sz w:val="22"/>
                <w:szCs w:val="22"/>
                <w:lang w:eastAsia="ar-SA"/>
              </w:rPr>
              <w:t>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15.04.2022,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15.08.2022,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i/>
                <w:iCs/>
                <w:color w:val="222222"/>
              </w:rPr>
              <w:t>до 15.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11.2022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11.2</w:t>
            </w:r>
          </w:p>
        </w:tc>
        <w:tc>
          <w:tcPr>
            <w:tcW w:w="21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color w:val="222222"/>
              </w:rPr>
              <w:t xml:space="preserve">Контрольное событие 37. </w:t>
            </w:r>
          </w:p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color w:val="222222"/>
              </w:rPr>
              <w:t xml:space="preserve">Отчетность по документам стратегического планирования, </w:t>
            </w:r>
            <w:r>
              <w:rPr>
                <w:rFonts w:ascii="Times New Roman" w:hAnsi="Times New Roman"/>
                <w:i/>
                <w:iCs/>
                <w:color w:val="222222"/>
              </w:rPr>
              <w:lastRenderedPageBreak/>
              <w:t>подлежащим мониторингу, контролю реализации за 2021 год сформирована и представлена на рассмотрение администрации</w:t>
            </w:r>
          </w:p>
        </w:tc>
        <w:tc>
          <w:tcPr>
            <w:tcW w:w="1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lastRenderedPageBreak/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до 30.04.2022,</w:t>
            </w:r>
          </w:p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i/>
                <w:iCs/>
                <w:color w:val="222222"/>
              </w:rPr>
              <w:t>до 30.06.2022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i/>
                <w:iCs/>
                <w:color w:val="222222"/>
              </w:rPr>
              <w:t>Х</w:t>
            </w:r>
          </w:p>
        </w:tc>
      </w:tr>
      <w:tr w:rsidR="007E5E6D" w:rsidTr="007D3058">
        <w:tc>
          <w:tcPr>
            <w:tcW w:w="5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22222"/>
              </w:rPr>
              <w:lastRenderedPageBreak/>
              <w:t>11.3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>Контрольное событие 38.</w:t>
            </w:r>
          </w:p>
          <w:p w:rsidR="007E5E6D" w:rsidRDefault="002A1EE9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mbria" w:hAnsi="Times New Roman" w:cs="Times New Roman"/>
                <w:bCs/>
                <w:i/>
                <w:iCs/>
                <w:color w:val="222222"/>
                <w:lang w:eastAsia="ar-SA"/>
              </w:rPr>
              <w:t xml:space="preserve">Отчетность по документам стратегического планирования за 2021 год размещена в федеральном государственном реестре документов стратегического планирования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222222"/>
              </w:rPr>
              <w:t>начальник отдела стратегического планирования Кириленко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5E6D" w:rsidRDefault="002A1EE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bCs/>
                <w:i/>
                <w:iCs/>
                <w:color w:val="222222"/>
              </w:rPr>
              <w:t>до 30.12.2022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7E5E6D" w:rsidRDefault="002A1E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</w:rPr>
            </w:pPr>
            <w:r>
              <w:rPr>
                <w:rFonts w:ascii="Times New Roman" w:hAnsi="Times New Roman"/>
                <w:bCs/>
                <w:i/>
                <w:iCs/>
                <w:color w:val="222222"/>
              </w:rPr>
              <w:t>Х</w:t>
            </w:r>
          </w:p>
        </w:tc>
      </w:tr>
    </w:tbl>
    <w:p w:rsidR="007E5E6D" w:rsidRDefault="007E5E6D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7E5E6D" w:rsidRDefault="007E5E6D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7E5E6D" w:rsidRDefault="007E5E6D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lang w:eastAsia="en-US"/>
        </w:rPr>
      </w:pPr>
    </w:p>
    <w:p w:rsidR="007E5E6D" w:rsidRDefault="007D3058">
      <w:pPr>
        <w:spacing w:after="0" w:line="240" w:lineRule="exact"/>
      </w:pPr>
      <w:r>
        <w:rPr>
          <w:rFonts w:ascii="Times New Roman" w:eastAsia="Cambria" w:hAnsi="Times New Roman" w:cs="Times New Roman"/>
          <w:sz w:val="28"/>
          <w:szCs w:val="28"/>
        </w:rPr>
        <w:t>Управляющий</w:t>
      </w:r>
      <w:r w:rsidR="002A1EE9">
        <w:rPr>
          <w:rFonts w:ascii="Times New Roman" w:eastAsia="Cambria" w:hAnsi="Times New Roman" w:cs="Times New Roman"/>
          <w:sz w:val="28"/>
          <w:szCs w:val="28"/>
        </w:rPr>
        <w:t xml:space="preserve"> делами администрации</w:t>
      </w:r>
    </w:p>
    <w:p w:rsidR="007E5E6D" w:rsidRDefault="002A1EE9">
      <w:pPr>
        <w:spacing w:after="0" w:line="240" w:lineRule="exact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7E5E6D" w:rsidRDefault="002A1EE9">
      <w:pPr>
        <w:spacing w:after="0" w:line="240" w:lineRule="exact"/>
        <w:jc w:val="both"/>
      </w:pPr>
      <w:r>
        <w:rPr>
          <w:rFonts w:ascii="Times New Roman" w:eastAsia="Cambria" w:hAnsi="Times New Roman" w:cs="Times New Roman"/>
          <w:sz w:val="28"/>
          <w:szCs w:val="28"/>
        </w:rPr>
        <w:t xml:space="preserve">Ставропольского края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Ю.В.Петрич</w:t>
      </w:r>
      <w:proofErr w:type="spellEnd"/>
    </w:p>
    <w:sectPr w:rsidR="007E5E6D">
      <w:pgSz w:w="16838" w:h="11906" w:orient="landscape"/>
      <w:pgMar w:top="1418" w:right="567" w:bottom="1020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D"/>
    <w:rsid w:val="002A1EE9"/>
    <w:rsid w:val="00361A90"/>
    <w:rsid w:val="004C7867"/>
    <w:rsid w:val="00641222"/>
    <w:rsid w:val="007D3058"/>
    <w:rsid w:val="007E5E6D"/>
    <w:rsid w:val="00A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7656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44D98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5">
    <w:name w:val="Body Text"/>
    <w:basedOn w:val="a"/>
    <w:rsid w:val="00544D98"/>
    <w:pPr>
      <w:spacing w:after="140"/>
    </w:pPr>
  </w:style>
  <w:style w:type="paragraph" w:styleId="a6">
    <w:name w:val="List"/>
    <w:basedOn w:val="a5"/>
    <w:rsid w:val="00544D98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544D98"/>
    <w:pPr>
      <w:suppressLineNumbers/>
    </w:pPr>
    <w:rPr>
      <w:rFonts w:cs="Droid Sans Devanagari"/>
    </w:rPr>
  </w:style>
  <w:style w:type="paragraph" w:customStyle="1" w:styleId="1">
    <w:name w:val="Название объекта1"/>
    <w:basedOn w:val="a"/>
    <w:qFormat/>
    <w:rsid w:val="00544D98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onsNonformat">
    <w:name w:val="ConsNonformat"/>
    <w:qFormat/>
    <w:rsid w:val="003D7504"/>
    <w:pPr>
      <w:widowControl w:val="0"/>
      <w:ind w:right="19772"/>
    </w:pPr>
    <w:rPr>
      <w:rFonts w:ascii="Courier New" w:eastAsia="Times New Roman" w:hAnsi="Courier New" w:cs="Courier New"/>
      <w:sz w:val="22"/>
      <w:szCs w:val="20"/>
    </w:rPr>
  </w:style>
  <w:style w:type="paragraph" w:styleId="a9">
    <w:name w:val="No Spacing"/>
    <w:uiPriority w:val="1"/>
    <w:qFormat/>
    <w:rsid w:val="009812BB"/>
    <w:rPr>
      <w:sz w:val="22"/>
    </w:rPr>
  </w:style>
  <w:style w:type="paragraph" w:styleId="aa">
    <w:name w:val="List Paragraph"/>
    <w:basedOn w:val="a"/>
    <w:uiPriority w:val="34"/>
    <w:qFormat/>
    <w:rsid w:val="00C40E33"/>
    <w:pPr>
      <w:ind w:left="720"/>
      <w:contextualSpacing/>
    </w:pPr>
  </w:style>
  <w:style w:type="paragraph" w:customStyle="1" w:styleId="ConsPlusNormal">
    <w:name w:val="ConsPlusNormal"/>
    <w:qFormat/>
    <w:rsid w:val="00F44526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uiPriority w:val="99"/>
    <w:semiHidden/>
    <w:unhideWhenUsed/>
    <w:qFormat/>
    <w:rsid w:val="001765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544D98"/>
    <w:pPr>
      <w:suppressLineNumbers/>
    </w:pPr>
  </w:style>
  <w:style w:type="paragraph" w:customStyle="1" w:styleId="ad">
    <w:name w:val="Заголовок таблицы"/>
    <w:basedOn w:val="ac"/>
    <w:qFormat/>
    <w:rsid w:val="00544D98"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Autospacing="1" w:after="119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08EA-428E-460C-A0D5-B2B496B8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2021-12-22T11:00:00Z</cp:lastPrinted>
  <dcterms:created xsi:type="dcterms:W3CDTF">2021-12-22T11:00:00Z</dcterms:created>
  <dcterms:modified xsi:type="dcterms:W3CDTF">2021-12-24T14:31:00Z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