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88" w:rsidRDefault="00421AE7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МАТЕРИАЛЫ,</w:t>
      </w:r>
    </w:p>
    <w:p w:rsidR="00610188" w:rsidRDefault="00421AE7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предоставляемые с проектом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«Развитие сельского хозяйства» </w:t>
      </w:r>
    </w:p>
    <w:p w:rsidR="00610188" w:rsidRDefault="00610188">
      <w:pPr>
        <w:widowControl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Общая характеристика </w:t>
      </w: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текущего состояния сферы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программы,</w:t>
      </w:r>
    </w:p>
    <w:p w:rsidR="00610188" w:rsidRDefault="00421AE7">
      <w:pPr>
        <w:spacing w:after="0" w:line="24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том числе формулировка основных проблем в указанной сфере</w:t>
      </w:r>
    </w:p>
    <w:p w:rsidR="00610188" w:rsidRDefault="00610188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</w:p>
    <w:p w:rsidR="00610188" w:rsidRDefault="00421A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 xml:space="preserve">Для социально-экономического развития Петровского городского округа Ставропольского края в 2020 году характерно стабильное развитие </w:t>
      </w:r>
      <w:r>
        <w:rPr>
          <w:rFonts w:ascii="Times New Roman" w:eastAsia="Times New Roman" w:hAnsi="Times New Roman" w:cs="Times New Roman"/>
          <w:sz w:val="26"/>
          <w:szCs w:val="26"/>
        </w:rPr>
        <w:t>сельскохозяйственного производства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10188" w:rsidRDefault="00421A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Несмотря на сложный для сельс</w:t>
      </w:r>
      <w:r>
        <w:rPr>
          <w:rFonts w:ascii="Times New Roman" w:hAnsi="Times New Roman" w:cs="Times New Roman"/>
          <w:sz w:val="26"/>
          <w:szCs w:val="26"/>
        </w:rPr>
        <w:t xml:space="preserve">кохозяйственного производства год – это отсутствие запасов влаги в метровом слое почвы, зима без осадков, апрельские заморозки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минус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11 градусов, а также локальные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градобои</w:t>
      </w:r>
      <w:proofErr w:type="spellEnd"/>
      <w:r>
        <w:rPr>
          <w:rFonts w:ascii="Times New Roman" w:hAnsi="Times New Roman" w:cs="Times New Roman"/>
          <w:sz w:val="26"/>
          <w:szCs w:val="26"/>
        </w:rPr>
        <w:t>,  все эти факторы оказали существенное влияние на урожайность  сельскохозяйствен</w:t>
      </w:r>
      <w:r>
        <w:rPr>
          <w:rFonts w:ascii="Times New Roman" w:hAnsi="Times New Roman" w:cs="Times New Roman"/>
          <w:sz w:val="26"/>
          <w:szCs w:val="26"/>
        </w:rPr>
        <w:t>ных культур, потеря урожая составила около 50 %.</w:t>
      </w:r>
    </w:p>
    <w:p w:rsidR="00610188" w:rsidRDefault="00421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Валовой сбор зерновых и зернобобовых культур в отчетном году по предварительным данным составил 195,55 тыс. тонн. </w:t>
      </w:r>
      <w:r>
        <w:rPr>
          <w:rFonts w:ascii="Times New Roman" w:eastAsia="Lucida Sans Unicode" w:hAnsi="Times New Roman" w:cs="Tahoma"/>
          <w:sz w:val="26"/>
          <w:szCs w:val="26"/>
        </w:rPr>
        <w:t xml:space="preserve">Производство технических культур - 6,1 тыс. тонн. </w:t>
      </w:r>
      <w:r>
        <w:rPr>
          <w:rFonts w:ascii="Times New Roman" w:hAnsi="Times New Roman" w:cs="Times New Roman"/>
          <w:sz w:val="26"/>
          <w:szCs w:val="26"/>
        </w:rPr>
        <w:t>Валовое производство подсолнечника составило</w:t>
      </w:r>
      <w:r>
        <w:rPr>
          <w:rFonts w:ascii="Times New Roman" w:hAnsi="Times New Roman" w:cs="Times New Roman"/>
          <w:sz w:val="26"/>
          <w:szCs w:val="26"/>
        </w:rPr>
        <w:t xml:space="preserve"> 13,5 тыс. тонн.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повышения эффективности растениеводства сельскохозяйственными товаропроизводителями района была продолжена работа: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совершенствованию севооборотов и увеличению удельного веса площади, засеваемой элитными семенами. По итогам 1 пол</w:t>
      </w:r>
      <w:r>
        <w:rPr>
          <w:rFonts w:ascii="Times New Roman" w:hAnsi="Times New Roman" w:cs="Times New Roman"/>
          <w:sz w:val="26"/>
          <w:szCs w:val="26"/>
        </w:rPr>
        <w:t>угодия 2020 года значение данного показателя составило 9 %. Увеличение площадей под элитными семенами играет положительную роль для увеличения урожайности сельскохозяйственных культур;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увеличению доли удобренной площади посевов сельскохозяйственных куль</w:t>
      </w:r>
      <w:r>
        <w:rPr>
          <w:rFonts w:ascii="Times New Roman" w:hAnsi="Times New Roman" w:cs="Times New Roman"/>
          <w:sz w:val="26"/>
          <w:szCs w:val="26"/>
        </w:rPr>
        <w:t>тур в общей посевной площади сельскохозяйственных культур. По итогам 2019 года этот показатель составил 90 %.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Основные мероприятия по развитию животноводства предполагают увеличение производства скота и птицы и молока.</w:t>
      </w:r>
    </w:p>
    <w:p w:rsidR="00610188" w:rsidRDefault="00421AE7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По состоянию на 01 июля 2020 года в х</w:t>
      </w:r>
      <w:r>
        <w:rPr>
          <w:rFonts w:ascii="Times New Roman" w:eastAsia="Lucida Sans Unicode" w:hAnsi="Times New Roman" w:cs="Times New Roman"/>
          <w:sz w:val="26"/>
          <w:szCs w:val="26"/>
        </w:rPr>
        <w:t>озяйствах всех категорий выращивается: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- 10,74 тыс. голов крупного рогатого скота,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- в т.ч. коров - 6,1 тыс. голов,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- 10,7 тыс. голов свиней,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- овец 13,3 тыс. голов,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>- птицы 1272,7 тыс. голов.</w:t>
      </w:r>
    </w:p>
    <w:p w:rsidR="00610188" w:rsidRDefault="00421AE7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Lucida Sans Unicode" w:hAnsi="Times New Roman" w:cs="Times New Roman"/>
          <w:sz w:val="26"/>
          <w:szCs w:val="26"/>
        </w:rPr>
      </w:pPr>
      <w:r>
        <w:rPr>
          <w:rFonts w:ascii="Times New Roman" w:eastAsia="Lucida Sans Unicode" w:hAnsi="Times New Roman" w:cs="Times New Roman"/>
          <w:sz w:val="26"/>
          <w:szCs w:val="26"/>
        </w:rPr>
        <w:t xml:space="preserve">Произведено (выращено) мяса в живом весе 14,47 тыс. тонн, </w:t>
      </w:r>
      <w:r>
        <w:rPr>
          <w:rFonts w:ascii="Times New Roman" w:eastAsia="Lucida Sans Unicode" w:hAnsi="Times New Roman" w:cs="Times New Roman"/>
          <w:sz w:val="26"/>
          <w:szCs w:val="26"/>
        </w:rPr>
        <w:t>молока произведено 10,66 тыс. тонн.</w:t>
      </w:r>
    </w:p>
    <w:p w:rsidR="00610188" w:rsidRDefault="00421AE7">
      <w:pPr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2019 году и 1 полугодии 2020 года  в рамках переданных полномочий были выплачены субсидии сельскохозяйственным товаропроизводителям и ЛПХ в размере 18021,87 тыс. рублей, из них:</w:t>
      </w:r>
    </w:p>
    <w:p w:rsidR="00610188" w:rsidRDefault="00421A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на возмещение процентной ставки по дол</w:t>
      </w:r>
      <w:r>
        <w:rPr>
          <w:rFonts w:ascii="Times New Roman" w:eastAsia="Times New Roman" w:hAnsi="Times New Roman" w:cs="Times New Roman"/>
          <w:sz w:val="26"/>
          <w:szCs w:val="26"/>
        </w:rPr>
        <w:t>госрочным, среднесрочным и краткосрочным кредитам - 21,87 тыс. рублей;</w:t>
      </w:r>
    </w:p>
    <w:p w:rsidR="00610188" w:rsidRDefault="00421A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на закладку сада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суперинтенсивного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типа гражданам, ведущим личные подсобные хозяйства (45 человек) - 18000 тыс. рублей.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eastAsia="Calibri" w:hAnsi="Times New Roman" w:cs="Tahoma"/>
          <w:sz w:val="26"/>
          <w:szCs w:val="26"/>
          <w:lang w:eastAsia="en-US"/>
        </w:rPr>
      </w:pPr>
      <w:r>
        <w:rPr>
          <w:rFonts w:ascii="Times New Roman" w:eastAsia="Calibri" w:hAnsi="Times New Roman" w:cs="Tahoma"/>
          <w:sz w:val="26"/>
          <w:szCs w:val="26"/>
          <w:lang w:eastAsia="en-US"/>
        </w:rPr>
        <w:lastRenderedPageBreak/>
        <w:t>Основными рисками развития сельского хозяйства остаются высокая</w:t>
      </w:r>
      <w:r>
        <w:rPr>
          <w:rFonts w:ascii="Times New Roman" w:eastAsia="Calibri" w:hAnsi="Times New Roman" w:cs="Tahoma"/>
          <w:sz w:val="26"/>
          <w:szCs w:val="26"/>
          <w:lang w:eastAsia="en-US"/>
        </w:rPr>
        <w:t xml:space="preserve"> зависимость производства от неблагоприятных агрометеорологических факторов, недостаточно высокая культура земледелия ряда товаропроизводителей, рост затрат на приобретение импортного посевного материала, средств защиты растений и животных, сельскохозяйств</w:t>
      </w:r>
      <w:r>
        <w:rPr>
          <w:rFonts w:ascii="Times New Roman" w:eastAsia="Calibri" w:hAnsi="Times New Roman" w:cs="Tahoma"/>
          <w:sz w:val="26"/>
          <w:szCs w:val="26"/>
          <w:lang w:eastAsia="en-US"/>
        </w:rPr>
        <w:t>енной техники.</w:t>
      </w:r>
    </w:p>
    <w:p w:rsidR="00610188" w:rsidRDefault="006101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2. Обоснование необходимых объемов </w:t>
      </w: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бюджетных ассигнований бюджета Петровского городского округа Ставропольского края на реализацию основных мероприятий муниципальной программы</w:t>
      </w:r>
    </w:p>
    <w:p w:rsidR="00610188" w:rsidRDefault="00610188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Муниципальная программа Петровского городского округа </w:t>
      </w:r>
      <w:r>
        <w:rPr>
          <w:rFonts w:ascii="Times New Roman" w:hAnsi="Times New Roman" w:cs="Times New Roman"/>
          <w:sz w:val="26"/>
          <w:szCs w:val="26"/>
        </w:rPr>
        <w:t>Ставропольского края «Развитие сельского хозяйства» (далее - Программа) предусматривает реализацию  основных мероприятий, направленных на достижение поставленных целей. Финансовое обеспечение требуется для реализации 3 основных мероприятий подпрограмм Прог</w:t>
      </w:r>
      <w:r>
        <w:rPr>
          <w:rFonts w:ascii="Times New Roman" w:hAnsi="Times New Roman" w:cs="Times New Roman"/>
          <w:sz w:val="26"/>
          <w:szCs w:val="26"/>
        </w:rPr>
        <w:t xml:space="preserve">раммы. </w:t>
      </w:r>
    </w:p>
    <w:p w:rsidR="00610188" w:rsidRDefault="00421A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Объем финансового обеспечения Программы составит 51029,04 тыс. рублей, в том числе по источникам финансового обеспечения: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бюджет Ставропольского края (далее краевой бюджет) – 15958,04 тыс. рублей, в том числе по годам: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2021 год – 2596,09 тыс. рубле</w:t>
      </w:r>
      <w:r>
        <w:rPr>
          <w:rFonts w:ascii="Times New Roman" w:eastAsia="Times New Roman" w:hAnsi="Times New Roman" w:cs="Times New Roman"/>
          <w:sz w:val="26"/>
          <w:szCs w:val="26"/>
        </w:rPr>
        <w:t>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2022 год – 2672,39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 год – 2672,39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год – 2672,39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2672,39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2672,39 тыс. рублей.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бюджет Петровского городского округа (далее бюджет округа) – 27871,26 тыс. рублей, в том </w:t>
      </w:r>
      <w:r>
        <w:rPr>
          <w:rFonts w:ascii="Times New Roman" w:eastAsia="Times New Roman" w:hAnsi="Times New Roman" w:cs="Times New Roman"/>
          <w:sz w:val="26"/>
          <w:szCs w:val="26"/>
        </w:rPr>
        <w:t>числе по годам: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2021 год – 4645,21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2022 год – 4645,21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 год – 4645,21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год – 4645,21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4645,21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4645,21 тыс. рублей.</w:t>
      </w: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налоговые расходы бюджета округа - 0,00 тыс. руб</w:t>
      </w:r>
      <w:r>
        <w:rPr>
          <w:rFonts w:ascii="Times New Roman" w:hAnsi="Times New Roman" w:cs="Times New Roman"/>
          <w:sz w:val="26"/>
          <w:szCs w:val="26"/>
        </w:rPr>
        <w:t xml:space="preserve">лей, в том числе по годам: 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2021 год – 0,00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2022 год – 0,00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 год – 0,00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год  – 0,00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0,00 тыс. рублей.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средства участников Программы – 7199,90 тыс. рублей, </w:t>
      </w:r>
      <w:r>
        <w:rPr>
          <w:rFonts w:ascii="Times New Roman" w:eastAsia="Times New Roman" w:hAnsi="Times New Roman" w:cs="Times New Roman"/>
          <w:sz w:val="26"/>
          <w:szCs w:val="26"/>
        </w:rPr>
        <w:t>в том числе по годам: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2021 год – 471,10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2022 год  – 873,00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2023 год – 2768,00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год – 1986,20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580,50 тыс. рублей;</w:t>
      </w:r>
    </w:p>
    <w:p w:rsidR="00610188" w:rsidRDefault="00421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2026 год – 521,10 тыс. рублей.</w:t>
      </w:r>
    </w:p>
    <w:p w:rsidR="00610188" w:rsidRDefault="00610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Обоснование планируемых объемов ресурсов на </w:t>
      </w:r>
      <w:r>
        <w:rPr>
          <w:rFonts w:ascii="Times New Roman" w:hAnsi="Times New Roman" w:cs="Times New Roman"/>
          <w:sz w:val="26"/>
          <w:szCs w:val="26"/>
        </w:rPr>
        <w:t>реализацию Программы приведено в Приложении 1.</w:t>
      </w:r>
    </w:p>
    <w:p w:rsidR="00610188" w:rsidRDefault="00610188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3.Сведения об основных мерах правового регулирования</w:t>
      </w:r>
    </w:p>
    <w:p w:rsidR="00610188" w:rsidRDefault="00421AE7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сфере реализации муниципальной программы</w:t>
      </w:r>
    </w:p>
    <w:p w:rsidR="00610188" w:rsidRDefault="00610188">
      <w:pPr>
        <w:spacing w:after="0" w:line="24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6"/>
          <w:szCs w:val="26"/>
        </w:rPr>
      </w:pPr>
      <w:r>
        <w:rPr>
          <w:rFonts w:ascii="Times New Roman" w:eastAsia="Cambria" w:hAnsi="Times New Roman" w:cs="Times New Roman"/>
          <w:sz w:val="26"/>
          <w:szCs w:val="26"/>
        </w:rPr>
        <w:t>К мерам муниципального регулирования в сфере реализации Программы относится:</w:t>
      </w:r>
    </w:p>
    <w:p w:rsidR="00610188" w:rsidRDefault="00421AE7">
      <w:pPr>
        <w:pStyle w:val="ac"/>
        <w:ind w:firstLine="709"/>
        <w:jc w:val="both"/>
        <w:rPr>
          <w:sz w:val="26"/>
          <w:szCs w:val="26"/>
        </w:rPr>
      </w:pPr>
      <w:proofErr w:type="gramStart"/>
      <w:r>
        <w:rPr>
          <w:rFonts w:eastAsia="Cambria"/>
          <w:sz w:val="26"/>
          <w:szCs w:val="26"/>
        </w:rPr>
        <w:t xml:space="preserve">Оказание государственной поддержки сельскохозяйственным товаропроизводителям Петровского городского округа </w:t>
      </w:r>
      <w:r>
        <w:rPr>
          <w:sz w:val="26"/>
          <w:szCs w:val="26"/>
        </w:rPr>
        <w:t>в части переданных полномочий Ставропольского края в области сельского хозяйства осуществляется с учётом требований действующих федеральных и краевых</w:t>
      </w:r>
      <w:r>
        <w:rPr>
          <w:sz w:val="26"/>
          <w:szCs w:val="26"/>
        </w:rPr>
        <w:t xml:space="preserve"> нормативных правовых актов, регулирующих правоотношения в агропромышленном комплексе, а так же порядок и условия предоставления финансовых средств, направленных из федерального и краевого бюджетов на поддержку сельскохозяйственных товаропроизводителей. </w:t>
      </w:r>
      <w:proofErr w:type="gramEnd"/>
    </w:p>
    <w:p w:rsidR="00610188" w:rsidRDefault="00610188">
      <w:pPr>
        <w:spacing w:after="0" w:line="240" w:lineRule="auto"/>
        <w:ind w:firstLine="709"/>
        <w:jc w:val="both"/>
      </w:pPr>
      <w:hyperlink w:anchor="Par2536">
        <w:r w:rsidR="00421AE7">
          <w:rPr>
            <w:rStyle w:val="-"/>
            <w:rFonts w:ascii="Times New Roman" w:hAnsi="Times New Roman" w:cs="Times New Roman"/>
            <w:color w:val="auto"/>
            <w:sz w:val="26"/>
            <w:szCs w:val="26"/>
            <w:u w:val="none"/>
          </w:rPr>
          <w:t>Сведения</w:t>
        </w:r>
      </w:hyperlink>
      <w:r w:rsidR="00421AE7">
        <w:rPr>
          <w:rFonts w:ascii="Times New Roman" w:hAnsi="Times New Roman" w:cs="Times New Roman"/>
          <w:sz w:val="26"/>
          <w:szCs w:val="26"/>
        </w:rPr>
        <w:t xml:space="preserve"> об основных мерах правового регулирования в сфере реализации Программы приведены в Приложении 2.</w:t>
      </w:r>
    </w:p>
    <w:p w:rsidR="00610188" w:rsidRDefault="00610188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610188" w:rsidRDefault="00610188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6"/>
          <w:szCs w:val="26"/>
        </w:rPr>
      </w:pPr>
    </w:p>
    <w:p w:rsidR="00610188" w:rsidRDefault="00421AE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Раздел 4. Сведения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 источнике информации и методике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расчетаиндикаторов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достижения целей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показ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ателей решения задач подпрограмм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610188" w:rsidRDefault="00610188">
      <w:pPr>
        <w:pStyle w:val="ConsPlusNormal"/>
        <w:spacing w:line="240" w:lineRule="exact"/>
        <w:ind w:firstLine="540"/>
        <w:jc w:val="both"/>
        <w:rPr>
          <w:sz w:val="26"/>
          <w:szCs w:val="26"/>
        </w:rPr>
      </w:pPr>
    </w:p>
    <w:p w:rsidR="00610188" w:rsidRDefault="00610188">
      <w:pPr>
        <w:pStyle w:val="ConsPlusNormal"/>
        <w:ind w:firstLine="540"/>
        <w:jc w:val="both"/>
      </w:pPr>
      <w:hyperlink w:anchor="P1307">
        <w:r w:rsidR="00421AE7">
          <w:rPr>
            <w:sz w:val="26"/>
            <w:szCs w:val="26"/>
          </w:rPr>
          <w:t>Сведения</w:t>
        </w:r>
      </w:hyperlink>
      <w:r w:rsidR="00421AE7">
        <w:rPr>
          <w:sz w:val="26"/>
          <w:szCs w:val="26"/>
        </w:rPr>
        <w:t xml:space="preserve"> о формах государственного (федерального) статистического наблюдения, о методиках </w:t>
      </w:r>
      <w:proofErr w:type="gramStart"/>
      <w:r w:rsidR="00421AE7">
        <w:rPr>
          <w:sz w:val="26"/>
          <w:szCs w:val="26"/>
        </w:rPr>
        <w:t>расчета значений индикаторов достижения целей Программы</w:t>
      </w:r>
      <w:proofErr w:type="gramEnd"/>
      <w:r w:rsidR="00421AE7">
        <w:rPr>
          <w:sz w:val="26"/>
          <w:szCs w:val="26"/>
        </w:rPr>
        <w:t xml:space="preserve"> и показателей решения задач подпрограмм Программы представлены в Приложении 3. </w:t>
      </w:r>
    </w:p>
    <w:p w:rsidR="00610188" w:rsidRDefault="00610188">
      <w:pPr>
        <w:pStyle w:val="ConsPlusNormal"/>
        <w:spacing w:line="240" w:lineRule="exact"/>
        <w:ind w:firstLine="539"/>
        <w:jc w:val="both"/>
        <w:rPr>
          <w:sz w:val="26"/>
          <w:szCs w:val="26"/>
        </w:rPr>
      </w:pPr>
    </w:p>
    <w:p w:rsidR="00610188" w:rsidRDefault="00610188">
      <w:pPr>
        <w:pStyle w:val="ConsPlusNormal"/>
        <w:spacing w:line="240" w:lineRule="exact"/>
        <w:ind w:firstLine="539"/>
        <w:jc w:val="both"/>
        <w:rPr>
          <w:sz w:val="26"/>
          <w:szCs w:val="26"/>
        </w:rPr>
      </w:pPr>
    </w:p>
    <w:p w:rsidR="00610188" w:rsidRDefault="00421AE7">
      <w:pPr>
        <w:pStyle w:val="ConsPlusNormal"/>
        <w:spacing w:line="240" w:lineRule="exact"/>
        <w:ind w:firstLine="539"/>
        <w:jc w:val="center"/>
        <w:rPr>
          <w:sz w:val="26"/>
          <w:szCs w:val="26"/>
        </w:rPr>
      </w:pPr>
      <w:r>
        <w:rPr>
          <w:sz w:val="26"/>
          <w:szCs w:val="26"/>
        </w:rPr>
        <w:t>Раздел 5. Основные параметры потребн</w:t>
      </w:r>
      <w:r>
        <w:rPr>
          <w:sz w:val="26"/>
          <w:szCs w:val="26"/>
        </w:rPr>
        <w:t>ости в трудовых ресурсах для реализации муниципальной программы</w:t>
      </w:r>
    </w:p>
    <w:p w:rsidR="00610188" w:rsidRDefault="00610188">
      <w:pPr>
        <w:pStyle w:val="ConsPlusNormal"/>
        <w:spacing w:line="240" w:lineRule="exact"/>
        <w:ind w:firstLine="539"/>
        <w:jc w:val="center"/>
        <w:rPr>
          <w:sz w:val="26"/>
          <w:szCs w:val="26"/>
        </w:rPr>
      </w:pPr>
    </w:p>
    <w:p w:rsidR="00610188" w:rsidRDefault="00421A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Для реализации Программы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достаточно штатной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численности ответственного исполнителя и соисполнителей муниципальной программы. </w:t>
      </w:r>
    </w:p>
    <w:p w:rsidR="00610188" w:rsidRDefault="00421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Необходимость в привлечении специалистов инженерно-технических </w:t>
      </w:r>
      <w:r>
        <w:rPr>
          <w:rFonts w:ascii="Times New Roman" w:hAnsi="Times New Roman" w:cs="Times New Roman"/>
          <w:sz w:val="26"/>
          <w:szCs w:val="26"/>
        </w:rPr>
        <w:t>специальностей для реализации Программы отсутствует.</w:t>
      </w: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421AE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сельского хозяйства</w:t>
      </w:r>
    </w:p>
    <w:p w:rsidR="00610188" w:rsidRDefault="00421AE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охраны окружающей среды администрации</w:t>
      </w:r>
    </w:p>
    <w:p w:rsidR="00610188" w:rsidRDefault="00421AE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Петровского городского округа</w:t>
      </w:r>
    </w:p>
    <w:p w:rsidR="00610188" w:rsidRDefault="00421AE7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В.Б. Ковтун</w:t>
      </w:r>
    </w:p>
    <w:p w:rsidR="00610188" w:rsidRDefault="0061018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10188" w:rsidRDefault="00610188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610188">
          <w:pgSz w:w="11906" w:h="16838"/>
          <w:pgMar w:top="1134" w:right="624" w:bottom="1021" w:left="1985" w:header="0" w:footer="0" w:gutter="0"/>
          <w:cols w:space="720"/>
          <w:formProt w:val="0"/>
          <w:docGrid w:linePitch="360" w:charSpace="4096"/>
        </w:sectPr>
      </w:pPr>
    </w:p>
    <w:p w:rsidR="00610188" w:rsidRDefault="00421AE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10188" w:rsidRDefault="00421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610188" w:rsidRDefault="00421A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планируемых объемов ресурсов на реализацию муниципальной программы</w:t>
      </w:r>
    </w:p>
    <w:p w:rsidR="00610188" w:rsidRDefault="006101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CellMar>
          <w:left w:w="62" w:type="dxa"/>
          <w:right w:w="62" w:type="dxa"/>
        </w:tblCellMar>
        <w:tblLook w:val="04A0"/>
      </w:tblPr>
      <w:tblGrid>
        <w:gridCol w:w="714"/>
        <w:gridCol w:w="3255"/>
        <w:gridCol w:w="7372"/>
        <w:gridCol w:w="3685"/>
      </w:tblGrid>
      <w:tr w:rsidR="00610188">
        <w:trPr>
          <w:trHeight w:val="135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основного мероприятия подпрограммы Программы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планируемых ресурсов с учетом прогнозируемого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уровня инфляции и иных факторов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средств бюджета Петровского городского округа Ставропольского края (далее - бюджет округа)  </w:t>
            </w:r>
          </w:p>
        </w:tc>
      </w:tr>
      <w:tr w:rsidR="00610188">
        <w:trPr>
          <w:trHeight w:val="111"/>
        </w:trPr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10188"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188" w:rsidRDefault="006101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Петровского городского округа «Развитие сельского хозяйства»</w:t>
            </w:r>
          </w:p>
        </w:tc>
      </w:tr>
      <w:tr w:rsidR="00610188"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растениеводства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мероприятия в 2021 - 2026 годах предполагает: </w:t>
            </w:r>
          </w:p>
          <w:p w:rsidR="00610188" w:rsidRDefault="00610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организацию и проведение соревнования по организованному проведению уборки урожая зерновых и зернобобовых культур из местного бюджета будет направить 2040 тыс. рублей.</w:t>
            </w:r>
          </w:p>
          <w:p w:rsidR="00610188" w:rsidRDefault="00610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агрохимического обследования земель сельскохозяйственного назначения. Поступление средств участников программы в 2021-2026 годах составит – 4599,90 тыс. рублей 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2021 по 2026 годы включительно -340 тыс. рублей ежегодно</w:t>
            </w:r>
          </w:p>
        </w:tc>
      </w:tr>
      <w:tr w:rsidR="00610188"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 в 2021- 2026 годах предполагает поступление субвенций из краевого бюджета на организацию и проведение мероприятий по борьбе с иксодовыми клещами – переносчиками Крымской геморрагической лихорадки в природных биотопах в размере 1846,9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тыс. рублей.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Поступление средств участников программы – 2600 тыс. рублей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2021 по 2026 годы включительно -307,82 тыс. рублей ежегодно</w:t>
            </w:r>
          </w:p>
        </w:tc>
      </w:tr>
      <w:tr w:rsidR="00610188">
        <w:tc>
          <w:tcPr>
            <w:tcW w:w="7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 реализации программы</w:t>
            </w:r>
          </w:p>
        </w:tc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осуществление отделом сельского хозяйства управленческих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функций, определенных Положением об отделе сельского хозяйства из краевого бюджета поступят средства в сумме 14111,12 тыс. рублей, за счет средств местного бюджета будет профинансировано 25831,26 тыс. рублей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 – 6593,48 тыс. рублей;</w:t>
            </w:r>
          </w:p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2022года  по 2026 год включительно - 6669,78 тыс. рублей ежегодно </w:t>
            </w:r>
          </w:p>
        </w:tc>
      </w:tr>
    </w:tbl>
    <w:p w:rsidR="00610188" w:rsidRDefault="006101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10188" w:rsidRDefault="0061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0188" w:rsidRDefault="00421AE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10188" w:rsidRDefault="00421AE7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СВЕДЕНИЯ</w:t>
      </w:r>
    </w:p>
    <w:p w:rsidR="00610188" w:rsidRDefault="00421AE7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об основных мерах правового регулирования</w:t>
      </w:r>
    </w:p>
    <w:p w:rsidR="00610188" w:rsidRDefault="00421AE7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>в сфере реализации муниципальной программы</w:t>
      </w:r>
    </w:p>
    <w:p w:rsidR="00610188" w:rsidRDefault="00610188">
      <w:pPr>
        <w:pStyle w:val="ConsPlusNormal"/>
      </w:pPr>
    </w:p>
    <w:tbl>
      <w:tblPr>
        <w:tblW w:w="15026" w:type="dxa"/>
        <w:tblInd w:w="62" w:type="dxa"/>
        <w:tblCellMar>
          <w:left w:w="62" w:type="dxa"/>
          <w:right w:w="62" w:type="dxa"/>
        </w:tblCellMar>
        <w:tblLook w:val="0000"/>
      </w:tblPr>
      <w:tblGrid>
        <w:gridCol w:w="501"/>
        <w:gridCol w:w="2553"/>
        <w:gridCol w:w="5025"/>
        <w:gridCol w:w="2759"/>
        <w:gridCol w:w="4188"/>
      </w:tblGrid>
      <w:tr w:rsidR="00610188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Вид нормативного правового акта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Основные положения нормативного </w:t>
            </w:r>
            <w:r>
              <w:rPr>
                <w:sz w:val="24"/>
              </w:rPr>
              <w:t>правового акта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исполнитель, соисполнитель Программы, подпрограммы Программы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Ожидаемые сроки принятия нормативного правового акта</w:t>
            </w:r>
          </w:p>
        </w:tc>
      </w:tr>
      <w:tr w:rsidR="00610188">
        <w:trPr>
          <w:trHeight w:val="2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10188">
        <w:trPr>
          <w:trHeight w:val="2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14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b/>
                <w:sz w:val="24"/>
              </w:rPr>
            </w:pPr>
            <w:r>
              <w:rPr>
                <w:rFonts w:eastAsia="Cambria"/>
                <w:b/>
                <w:sz w:val="24"/>
              </w:rPr>
              <w:t>Подпрограмма «Обеспечение устойчивого развития сельскохозяйственного производства»</w:t>
            </w:r>
          </w:p>
        </w:tc>
      </w:tr>
      <w:tr w:rsidR="00610188">
        <w:trPr>
          <w:trHeight w:val="2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widowControl w:val="0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  <w:r>
              <w:rPr>
                <w:rFonts w:eastAsia="Cambria"/>
                <w:bCs/>
                <w:sz w:val="24"/>
              </w:rPr>
              <w:t xml:space="preserve">Постановление администрации </w:t>
            </w: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Утверждение регламента предоставления </w:t>
            </w:r>
            <w:r>
              <w:rPr>
                <w:rFonts w:eastAsia="Cambria"/>
                <w:sz w:val="24"/>
              </w:rPr>
              <w:t>государственной услуги « Предоставление за счет средств бюджета Ставропольского края субсидий на возмещение части затрат по наращиванию маточного поголовья овец и коз»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>отдел сельского хозяй</w:t>
            </w:r>
            <w:r>
              <w:rPr>
                <w:sz w:val="24"/>
              </w:rPr>
              <w:t>ства и охраны окружающей среды</w:t>
            </w: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ConsPlusNormal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 результатам мониторинга </w:t>
            </w:r>
            <w:proofErr w:type="spellStart"/>
            <w:r>
              <w:rPr>
                <w:sz w:val="24"/>
              </w:rPr>
              <w:t>правоприменения</w:t>
            </w:r>
            <w:proofErr w:type="spellEnd"/>
          </w:p>
        </w:tc>
      </w:tr>
      <w:tr w:rsidR="00610188">
        <w:trPr>
          <w:trHeight w:val="28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widowControl w:val="0"/>
              <w:numPr>
                <w:ilvl w:val="0"/>
                <w:numId w:val="1"/>
              </w:numPr>
              <w:jc w:val="center"/>
              <w:rPr>
                <w:sz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jc w:val="both"/>
              <w:rPr>
                <w:rFonts w:eastAsia="Cambria"/>
                <w:bCs/>
                <w:sz w:val="24"/>
              </w:rPr>
            </w:pPr>
          </w:p>
        </w:tc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jc w:val="both"/>
              <w:rPr>
                <w:sz w:val="24"/>
              </w:rPr>
            </w:pP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jc w:val="center"/>
              <w:rPr>
                <w:sz w:val="24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610188">
            <w:pPr>
              <w:pStyle w:val="ConsPlusNormal"/>
              <w:jc w:val="center"/>
              <w:rPr>
                <w:sz w:val="24"/>
              </w:rPr>
            </w:pPr>
          </w:p>
        </w:tc>
      </w:tr>
    </w:tbl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610188">
      <w:pPr>
        <w:widowControl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10188" w:rsidRDefault="00421AE7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610188" w:rsidRDefault="00610188">
      <w:pPr>
        <w:widowControl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</w:p>
    <w:p w:rsidR="00610188" w:rsidRDefault="00421AE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610188" w:rsidRDefault="00421A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источнике информации и методике расчета</w:t>
      </w:r>
    </w:p>
    <w:p w:rsidR="00610188" w:rsidRDefault="00421A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индикаторов достижения целей муниципальной программы и </w:t>
      </w:r>
    </w:p>
    <w:p w:rsidR="00610188" w:rsidRDefault="00421AE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показателей решения задач </w:t>
      </w:r>
      <w:r>
        <w:rPr>
          <w:rFonts w:ascii="Times New Roman" w:hAnsi="Times New Roman" w:cs="Times New Roman"/>
          <w:sz w:val="28"/>
          <w:szCs w:val="28"/>
        </w:rPr>
        <w:t>подпрограмм муниципальной программы</w:t>
      </w:r>
    </w:p>
    <w:p w:rsidR="00610188" w:rsidRDefault="00610188">
      <w:pPr>
        <w:widowControl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64" w:type="dxa"/>
        <w:tblCellMar>
          <w:left w:w="62" w:type="dxa"/>
          <w:right w:w="62" w:type="dxa"/>
        </w:tblCellMar>
        <w:tblLook w:val="0000"/>
      </w:tblPr>
      <w:tblGrid>
        <w:gridCol w:w="568"/>
        <w:gridCol w:w="3259"/>
        <w:gridCol w:w="142"/>
        <w:gridCol w:w="1134"/>
        <w:gridCol w:w="7796"/>
        <w:gridCol w:w="2553"/>
      </w:tblGrid>
      <w:tr w:rsidR="0061018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</w:p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(методика расчета)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характеристики индикатора достижения цели Программы и показателя решения задачи подпрограммы Программы </w:t>
            </w:r>
          </w:p>
        </w:tc>
      </w:tr>
      <w:tr w:rsidR="00610188">
        <w:trPr>
          <w:trHeight w:val="1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Петровского городского округа «Развитие сельского хозяйства»</w:t>
            </w:r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Индекс физического объема производства</w:t>
            </w:r>
            <w:r>
              <w:rPr>
                <w:rFonts w:ascii="Times New Roman" w:hAnsi="Times New Roman" w:cs="Times New Roman"/>
              </w:rPr>
              <w:t xml:space="preserve"> продукции сельского хозяйства в хозяйствах всех категорий (в сопоставимых ценах)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 формируются на основе расчета производства продукции сельского хозяйства в хозяйствах всех категорий (предоставляется отделом сельского хозяйства).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за год, предшествующий отчетному, уточняется на основе данных, размещенных на официальном сайте  Управления Федеральной службы государственной статистики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авказскому федеральному округу в информационно-телекоммуникационной сети «Интерн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ет».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6101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И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Инд.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деф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– индекс физического объема производства продукции сельского хозяйства в сопоставимых ценах;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– индекс физического объема производства продукции сельского хозяйства в действующих ценах;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индекс-дефлятор продукции сельского хозяйства в хозяйствах всех категорий.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Индекс производства продукции растениеводства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за отчетный год формируются на основе расчета производства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продукции растениеводства в хозяйствах всех категорий (предоставляется отделом сельского хозяйства).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за год, предшествующий отчетному, уточняется на основе данных, размещенных на официальном сайте  Управления Федеральной службы государственной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авказскому федеральному округу в информационно-телекоммуникационной сети «Интернет».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И=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И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д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</w:rPr>
                    <m:t>Инд.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деф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где: 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– индекс физического объема производства продукции растениеводства в сопоставимых ценах;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–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ндекс физического объема производства продукции растениеводства в действующих ценах;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– индекс-дефлятор продукции растениеводства в хозяйствах всех категорий.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Удельный вес площади </w:t>
            </w:r>
            <w:r>
              <w:rPr>
                <w:rFonts w:ascii="Times New Roman" w:hAnsi="Times New Roman" w:cs="Times New Roman"/>
              </w:rPr>
              <w:t>посевов сельскохозяйственных культур, засеваемой элитными семенами, в общей площади посевов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 формируются на основе расчета площади посевов сельскохозяйственных культур, засеваемой элитными семенами, в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площади посевов сельскохозяйственных культур  (предоставляется отделом сельского хозяйства).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Sз</m:t>
                  </m:r>
                </m:num>
                <m:den>
                  <m:r>
                    <w:rPr>
                      <w:rFonts w:ascii="Cambria Math" w:hAnsi="Cambria Math"/>
                    </w:rPr>
                    <m:t>So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удельный вес площади посевов, сельскохозяйственных культур, засеваемой элитными семенами;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засеваемая элитными семенами;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общая площадь посевов.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Увеличение объема производства молока в хозяйствах всех категорий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представленные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отделом сельского хозяйства.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V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Пт.г.</m:t>
                  </m:r>
                </m:num>
                <m:den>
                  <m:r>
                    <w:rPr>
                      <w:rFonts w:ascii="Cambria Math" w:hAnsi="Cambria Math"/>
                    </w:rPr>
                    <m:t>Пп.г.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увеличение объёма производства молока в хозяйствах всех категорий;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производство молока текущего года;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п.г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производство молока предыдущего года.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данных являются данные бюллетеня Федеральной службы государственной статистики по Ставропольскому краю «Социально-экономического положение Петровского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района».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  <w:p w:rsidR="00610188" w:rsidRDefault="006101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Темп роста заработной платы в сельском хозяйстве по сельскохозяйственным организациям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анализа основных показателей производственно-финансовой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предприятий, выполняемого отделом сельского хозяйства.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T</m:t>
              </m:r>
              <m:r>
                <w:rPr>
                  <w:rFonts w:ascii="Cambria Math" w:hAnsi="Cambria Math"/>
                </w:rPr>
                <m:t>р=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Зпт.г.</m:t>
                  </m:r>
                </m:num>
                <m:den>
                  <m:r>
                    <w:rPr>
                      <w:rFonts w:ascii="Cambria Math" w:hAnsi="Cambria Math"/>
                    </w:rPr>
                    <m:t>Зпп.г.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темп роста заработной платы в сельском хозяйстве;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заработная плата текущего года;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Зп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 заработная плата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редыдущего года.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прибыльных сельскохозяйственных организаций в общем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информации являются данные анализа основных показателей производственно-финансовой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сельскохозяйственных предприятий, выполняемого отделом сельского хозяйства.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Kпр</m:t>
                  </m:r>
                </m:num>
                <m:den>
                  <m:r>
                    <w:rPr>
                      <w:rFonts w:ascii="Cambria Math" w:hAnsi="Cambria Math"/>
                    </w:rPr>
                    <m:t>Kв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доля прибыльных сельскохозяйственных организаций;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прибыльных сельскохозяйственных организаций;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всего сельскохозяйственных организаций.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удобренной площади посевов сельскохозяйственных культур в общей посевной площади сельскохозяйственных культур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 за отчетный год формируются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расчета доли удобренной площади посевов сельскохозяйственных культур,  в общей посевной площади (предоставляется отделом сельского хозяйства).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уп=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Уп</m:t>
                  </m:r>
                </m:num>
                <m:den>
                  <m:r>
                    <w:rPr>
                      <w:rFonts w:ascii="Cambria Math" w:hAnsi="Cambria Math"/>
                    </w:rPr>
                    <m:t>Оп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доля удобренной площади посевов сельскохозяйственных культур;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удобренная площадь посевов;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общая посевная площадь сельскохозяйственных культур.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 в срок до 31 декабря отчетного года</w:t>
            </w:r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 округа, проживающего на защищенной </w:t>
            </w:r>
            <w:r>
              <w:rPr>
                <w:rFonts w:ascii="Times New Roman" w:hAnsi="Times New Roman" w:cs="Times New Roman"/>
              </w:rPr>
              <w:t xml:space="preserve">в результате проведения </w:t>
            </w:r>
            <w:proofErr w:type="spellStart"/>
            <w:r>
              <w:rPr>
                <w:rFonts w:ascii="Times New Roman" w:hAnsi="Times New Roman" w:cs="Times New Roman"/>
              </w:rPr>
              <w:t>противопаводковых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мероприятий </w:t>
            </w:r>
            <w:r>
              <w:rPr>
                <w:rFonts w:ascii="Times New Roman" w:hAnsi="Times New Roman" w:cs="Times New Roman"/>
              </w:rPr>
              <w:lastRenderedPageBreak/>
              <w:t>территории округа, в общей численности населения округа, проживающего на территории округа, подверженной негативному воздействию вод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 и охраны окружающей среды.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Чпр</m:t>
                  </m:r>
                </m:num>
                <m:den>
                  <m:r>
                    <w:rPr>
                      <w:rFonts w:ascii="Cambria Math" w:hAnsi="Cambria Math"/>
                    </w:rPr>
                    <m:t>Чж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–доля населения округа;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число жителей, проживающих на защищенной в результате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противопаводковых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территории округа;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Чж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общее число жителей округа.</w:t>
            </w:r>
          </w:p>
          <w:p w:rsidR="00610188" w:rsidRDefault="0061018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в срок до 01 марта,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ежегодных мероприятий в рамках Дней защиты от экологической опасности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 и охраны окружающей среды.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публикаций экологической направленности, размещенных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 и охраны окружающей среды.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western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несанкционированных свалок на территории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 и охраны окружающей среды.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расчета.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  <w:tr w:rsidR="00610188">
        <w:trPr>
          <w:trHeight w:val="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pStyle w:val="western"/>
              <w:ind w:firstLine="0"/>
            </w:pPr>
            <w:proofErr w:type="gramStart"/>
            <w:r>
              <w:rPr>
                <w:sz w:val="22"/>
                <w:szCs w:val="22"/>
              </w:rPr>
              <w:t>Выполнение</w:t>
            </w:r>
            <w:r>
              <w:rPr>
                <w:color w:val="000000"/>
                <w:sz w:val="22"/>
                <w:szCs w:val="22"/>
              </w:rPr>
              <w:t xml:space="preserve"> мероприятий, предусмотренных Планом мероприятий по обеспечению безопасности гидротехнических сооружений, которые не имеют собственников или собственники которых неизвестны либо от права собственности, на которые собственники отказались, расположенные на т</w:t>
            </w:r>
            <w:r>
              <w:rPr>
                <w:color w:val="000000"/>
                <w:sz w:val="22"/>
                <w:szCs w:val="22"/>
              </w:rPr>
              <w:t xml:space="preserve">ерритории Петровского городского </w:t>
            </w:r>
            <w:proofErr w:type="spellStart"/>
            <w:r>
              <w:rPr>
                <w:color w:val="000000"/>
                <w:sz w:val="22"/>
                <w:szCs w:val="22"/>
              </w:rPr>
              <w:t>округаСтавропольского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края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отдела сельского хозяйства и охраны окружающей среды.</w:t>
            </w:r>
          </w:p>
          <w:p w:rsidR="00610188" w:rsidRDefault="00421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Рассчитывается по формуле:</w:t>
            </w:r>
          </w:p>
          <w:p w:rsidR="00610188" w:rsidRDefault="00421AE7">
            <w:pPr>
              <w:widowControl w:val="0"/>
              <w:spacing w:after="0" w:line="240" w:lineRule="auto"/>
              <w:ind w:firstLine="9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/>
                </w:rPr>
                <m:t>П=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Kв</m:t>
                  </m:r>
                </m:num>
                <m:den>
                  <m:r>
                    <w:rPr>
                      <w:rFonts w:ascii="Cambria Math" w:hAnsi="Cambria Math"/>
                    </w:rPr>
                    <m:t>Kп</m:t>
                  </m:r>
                </m:den>
              </m:f>
              <m:r>
                <w:rPr>
                  <w:rFonts w:ascii="Cambria Math" w:hAnsi="Cambria Math"/>
                </w:rPr>
                <m:t>×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планмероприятий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выполненных мероприятий по плану;</w:t>
            </w:r>
          </w:p>
          <w:p w:rsidR="00610188" w:rsidRDefault="00421AE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мероприятий, предусмотренных планом.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0188" w:rsidRDefault="00421A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срок до 01 марта, года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610188" w:rsidRDefault="00610188">
      <w:pPr>
        <w:sectPr w:rsidR="00610188">
          <w:pgSz w:w="16838" w:h="11906" w:orient="landscape"/>
          <w:pgMar w:top="851" w:right="1134" w:bottom="709" w:left="1134" w:header="0" w:footer="0" w:gutter="0"/>
          <w:cols w:space="720"/>
          <w:formProt w:val="0"/>
          <w:docGrid w:linePitch="360" w:charSpace="4096"/>
        </w:sectPr>
      </w:pPr>
    </w:p>
    <w:p w:rsidR="00610188" w:rsidRDefault="00610188">
      <w:pPr>
        <w:jc w:val="both"/>
      </w:pPr>
    </w:p>
    <w:sectPr w:rsidR="00610188" w:rsidSect="0061018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Droid Sans Fallback">
    <w:panose1 w:val="020B0502000000000001"/>
    <w:charset w:val="80"/>
    <w:family w:val="swiss"/>
    <w:pitch w:val="variable"/>
    <w:sig w:usb0="B1002AFF" w:usb1="2BDFFCFB" w:usb2="00000016" w:usb3="00000000" w:csb0="003F01FF" w:csb1="00000000"/>
  </w:font>
  <w:font w:name="Droid Sans Devanagari"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53AC"/>
    <w:multiLevelType w:val="multilevel"/>
    <w:tmpl w:val="F878D1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40426A"/>
    <w:multiLevelType w:val="multilevel"/>
    <w:tmpl w:val="217A8D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0188"/>
    <w:rsid w:val="00421AE7"/>
    <w:rsid w:val="00610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6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8D1ECC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5516F4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uiPriority w:val="99"/>
    <w:qFormat/>
    <w:locked/>
    <w:rsid w:val="00846A3C"/>
    <w:rPr>
      <w:rFonts w:ascii="Times New Roman" w:eastAsia="Calibri" w:hAnsi="Times New Roman" w:cs="Times New Roman"/>
      <w:sz w:val="28"/>
      <w:lang w:eastAsia="en-US"/>
    </w:rPr>
  </w:style>
  <w:style w:type="character" w:customStyle="1" w:styleId="a5">
    <w:name w:val="Верхний колонтитул Знак"/>
    <w:basedOn w:val="a0"/>
    <w:uiPriority w:val="99"/>
    <w:qFormat/>
    <w:rsid w:val="00040DF6"/>
  </w:style>
  <w:style w:type="character" w:customStyle="1" w:styleId="a6">
    <w:name w:val="Нижний колонтитул Знак"/>
    <w:basedOn w:val="a0"/>
    <w:uiPriority w:val="99"/>
    <w:semiHidden/>
    <w:qFormat/>
    <w:rsid w:val="00040DF6"/>
  </w:style>
  <w:style w:type="character" w:styleId="a7">
    <w:name w:val="Placeholder Text"/>
    <w:basedOn w:val="a0"/>
    <w:uiPriority w:val="99"/>
    <w:semiHidden/>
    <w:qFormat/>
    <w:rsid w:val="00DA7B55"/>
    <w:rPr>
      <w:color w:val="808080"/>
    </w:rPr>
  </w:style>
  <w:style w:type="paragraph" w:customStyle="1" w:styleId="a8">
    <w:name w:val="Заголовок"/>
    <w:basedOn w:val="a"/>
    <w:next w:val="a9"/>
    <w:qFormat/>
    <w:rsid w:val="00610188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9">
    <w:name w:val="Body Text"/>
    <w:basedOn w:val="a"/>
    <w:rsid w:val="00610188"/>
    <w:pPr>
      <w:spacing w:after="140"/>
    </w:pPr>
  </w:style>
  <w:style w:type="paragraph" w:styleId="aa">
    <w:name w:val="List"/>
    <w:basedOn w:val="a9"/>
    <w:rsid w:val="00610188"/>
    <w:rPr>
      <w:rFonts w:cs="Droid Sans Devanagari"/>
    </w:rPr>
  </w:style>
  <w:style w:type="paragraph" w:customStyle="1" w:styleId="Caption">
    <w:name w:val="Caption"/>
    <w:basedOn w:val="a"/>
    <w:qFormat/>
    <w:rsid w:val="0061018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610188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B00BBB"/>
    <w:rPr>
      <w:rFonts w:ascii="Times New Roman" w:hAnsi="Times New Roman" w:cs="Times New Roman"/>
      <w:sz w:val="28"/>
      <w:szCs w:val="28"/>
    </w:rPr>
  </w:style>
  <w:style w:type="paragraph" w:styleId="ac">
    <w:name w:val="No Spacing"/>
    <w:uiPriority w:val="1"/>
    <w:qFormat/>
    <w:rsid w:val="00B00BBB"/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Cell">
    <w:name w:val="ConsPlusCell"/>
    <w:uiPriority w:val="99"/>
    <w:qFormat/>
    <w:rsid w:val="00C1318D"/>
    <w:pPr>
      <w:suppressAutoHyphens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alloon Text"/>
    <w:basedOn w:val="a"/>
    <w:uiPriority w:val="99"/>
    <w:semiHidden/>
    <w:unhideWhenUsed/>
    <w:qFormat/>
    <w:rsid w:val="005516F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E63DA2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qFormat/>
    <w:rsid w:val="00E63DA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610188"/>
  </w:style>
  <w:style w:type="paragraph" w:customStyle="1" w:styleId="Header">
    <w:name w:val="Header"/>
    <w:basedOn w:val="a"/>
    <w:uiPriority w:val="99"/>
    <w:unhideWhenUsed/>
    <w:rsid w:val="00040DF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040DF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qFormat/>
    <w:rsid w:val="002904A6"/>
    <w:pPr>
      <w:spacing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таблицы"/>
    <w:basedOn w:val="a"/>
    <w:qFormat/>
    <w:rsid w:val="00610188"/>
    <w:pPr>
      <w:suppressLineNumbers/>
    </w:pPr>
  </w:style>
  <w:style w:type="paragraph" w:customStyle="1" w:styleId="af2">
    <w:name w:val="Заголовок таблицы"/>
    <w:basedOn w:val="af1"/>
    <w:qFormat/>
    <w:rsid w:val="00610188"/>
    <w:pPr>
      <w:jc w:val="center"/>
    </w:pPr>
    <w:rPr>
      <w:b/>
      <w:bCs/>
    </w:rPr>
  </w:style>
  <w:style w:type="table" w:styleId="af3">
    <w:name w:val="Table Grid"/>
    <w:basedOn w:val="a1"/>
    <w:uiPriority w:val="59"/>
    <w:rsid w:val="00DA7B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3C76D-DF2F-4232-943E-73F56890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</Pages>
  <Words>2431</Words>
  <Characters>13858</Characters>
  <Application>Microsoft Office Word</Application>
  <DocSecurity>0</DocSecurity>
  <Lines>115</Lines>
  <Paragraphs>32</Paragraphs>
  <ScaleCrop>false</ScaleCrop>
  <Company>Администрация Петровского муниципального района</Company>
  <LinksUpToDate>false</LinksUpToDate>
  <CharactersWithSpaces>16257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dc:description/>
  <cp:lastModifiedBy>720801159</cp:lastModifiedBy>
  <cp:revision>78</cp:revision>
  <cp:lastPrinted>2020-09-24T13:28:00Z</cp:lastPrinted>
  <dcterms:created xsi:type="dcterms:W3CDTF">2016-02-03T06:05:00Z</dcterms:created>
  <dcterms:modified xsi:type="dcterms:W3CDTF">2020-11-13T10:38:00Z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Петровского муниципального района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