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autoSpaceDE w:val="false"/>
        <w:spacing w:lineRule="exact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ДОПОЛНИТЕЛЬНЫЕ МАТЕРИАЛЫ,</w:t>
      </w:r>
    </w:p>
    <w:p>
      <w:pPr>
        <w:pStyle w:val="Normal"/>
        <w:widowControl w:val="false"/>
        <w:autoSpaceDE w:val="false"/>
        <w:spacing w:lineRule="exact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к муниципальной программе Петровского городского округа Ставропольского края «Управление имуществом»</w:t>
      </w:r>
    </w:p>
    <w:p>
      <w:pPr>
        <w:pStyle w:val="Normal"/>
        <w:widowControl w:val="false"/>
        <w:autoSpaceDE w:val="false"/>
        <w:spacing w:lineRule="exact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Раздел 1. Общая характеристика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текущего состояния сферы реализации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муниципальной программы,</w:t>
      </w:r>
    </w:p>
    <w:p>
      <w:pPr>
        <w:pStyle w:val="Normal"/>
        <w:spacing w:lineRule="exact" w:line="240" w:before="0" w:after="0"/>
        <w:ind w:firstLine="70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в том числе формулировка основных проблем в указанной сфере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Lucida Sans Unicode" w:cs="Tahoma"/>
          <w:sz w:val="28"/>
          <w:szCs w:val="28"/>
        </w:rPr>
      </w:pPr>
      <w:r>
        <w:rPr>
          <w:rFonts w:eastAsia="Lucida Sans Unicode" w:cs="Tahoma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/>
      </w:pPr>
      <w:r>
        <w:rPr/>
        <w:t>Управление и распоряжение имуществом является неотъемлемой частью деятельности органов местного самоуправления Петровского городского округа Ставропольского края (далее – округ) по решению задач социально - экономического развития округа, созданию эффективной конкурентной экономики округа, оздоровлению и укреплению финансовой системы округа.</w:t>
      </w:r>
    </w:p>
    <w:p>
      <w:pPr>
        <w:pStyle w:val="ConsPlusNormal"/>
        <w:ind w:firstLine="540"/>
        <w:jc w:val="both"/>
        <w:rPr/>
      </w:pPr>
      <w:r>
        <w:rPr/>
        <w:t>Основным показателем эффективности управления имуществом и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разграничена, является выполнение в полном объеме доходной части бюджета Петровского городского округа Ставропольского края (далее бюджета округа) от их использования.</w:t>
      </w:r>
    </w:p>
    <w:p>
      <w:pPr>
        <w:pStyle w:val="ConsPlusNormal"/>
        <w:ind w:firstLine="540"/>
        <w:jc w:val="both"/>
        <w:rPr/>
      </w:pPr>
      <w:r>
        <w:rPr/>
        <w:t>Доходы от использования имущества и земельных участков, находящихся в муниципальной собственности Петровского городского округа Ставропольского края, а также земельных участков, государственная собственность на которые не разграничена, за 6 месяцев 2020 года составили 29175,65 тыс. рублей (плановые назначения за соответствующий период выполнены на 113,59%).</w:t>
      </w:r>
    </w:p>
    <w:p>
      <w:pPr>
        <w:pStyle w:val="ConsPlusNormal"/>
        <w:ind w:firstLine="540"/>
        <w:jc w:val="both"/>
        <w:rPr/>
      </w:pPr>
      <w:r>
        <w:rPr/>
        <w:t>Учет муниципального имущества и государственная регистрация права муниципальной собственности округа на объекты недвижимого имущества являются важнейшими направлениями в сфере управления имуществом, находящимся в муниципальной собственности округа.</w:t>
      </w:r>
    </w:p>
    <w:p>
      <w:pPr>
        <w:pStyle w:val="ConsPlusNormal"/>
        <w:ind w:firstLine="540"/>
        <w:jc w:val="both"/>
        <w:rPr/>
      </w:pPr>
      <w:r>
        <w:rPr/>
        <w:t>В настоящее время наблюдается тенденция увеличения количества и площади земельных участков, находящихся в муниципальной собственности округа, за счет разграничения государственной собственности на землю и оформления права муниципальной собственности округа.</w:t>
      </w:r>
    </w:p>
    <w:p>
      <w:pPr>
        <w:pStyle w:val="ConsPlusNormal"/>
        <w:ind w:firstLine="540"/>
        <w:jc w:val="both"/>
        <w:rPr/>
      </w:pPr>
      <w:r>
        <w:rPr/>
        <w:t>Одним из условий повышения эффективности использования муниципального имущества округа является усиление конкуренции и прозрачности при приватизации и предоставлении в аренду муниципального</w:t>
      </w:r>
      <w:r>
        <w:rPr>
          <w:highlight w:val="yellow"/>
        </w:rPr>
        <w:t xml:space="preserve"> </w:t>
      </w:r>
      <w:r>
        <w:rPr/>
        <w:t>имущества.</w:t>
      </w:r>
    </w:p>
    <w:p>
      <w:pPr>
        <w:pStyle w:val="ConsPlusNormal"/>
        <w:ind w:firstLine="540"/>
        <w:jc w:val="both"/>
        <w:rPr/>
      </w:pPr>
      <w:r>
        <w:rPr/>
        <w:t>Размер арендной платы за использование объектов муниципального имущества округа определяется по результатам независимой оценки.</w:t>
      </w:r>
    </w:p>
    <w:p>
      <w:pPr>
        <w:pStyle w:val="ConsPlusNormal"/>
        <w:ind w:firstLine="540"/>
        <w:jc w:val="both"/>
        <w:rPr/>
      </w:pPr>
      <w:r>
        <w:rPr/>
        <w:t xml:space="preserve">В связи с внесением изменений в Федеральный </w:t>
      </w:r>
      <w:hyperlink r:id="rId2">
        <w:r>
          <w:rPr>
            <w:rStyle w:val="Style15"/>
          </w:rPr>
          <w:t>закон</w:t>
        </w:r>
      </w:hyperlink>
      <w:r>
        <w:rPr/>
        <w:t xml:space="preserve"> «О защите конкуренции» в части регулирования особенностей заключения договоров в отношении муниципального имущества:</w:t>
      </w:r>
    </w:p>
    <w:p>
      <w:pPr>
        <w:pStyle w:val="ConsPlusNormal"/>
        <w:ind w:firstLine="540"/>
        <w:jc w:val="both"/>
        <w:rPr/>
      </w:pPr>
      <w:r>
        <w:rPr/>
        <w:t>установлена обязательность опубликования в средствах массовой информации и в информационно-телекоммуникационной сети «Интернет» на официальном сайте администрации округа сведений о предоставляемом в аренду недвижимом имуществе;</w:t>
      </w:r>
    </w:p>
    <w:p>
      <w:pPr>
        <w:pStyle w:val="ConsPlusNormal"/>
        <w:ind w:firstLine="540"/>
        <w:jc w:val="both"/>
        <w:rPr/>
      </w:pPr>
      <w:r>
        <w:rPr/>
        <w:t>введен механизм предоставления помещений (зданий), земельных участков в аренду на конкурсной основе или путем предоставления муниципальной преференции.</w:t>
      </w:r>
    </w:p>
    <w:p>
      <w:pPr>
        <w:pStyle w:val="ConsPlusNormal"/>
        <w:ind w:firstLine="540"/>
        <w:jc w:val="both"/>
        <w:rPr/>
      </w:pPr>
      <w:r>
        <w:rPr/>
        <w:t>В целях обеспечения учета и мониторинга муниципального имущества округа активно ведется работа по государственной регистрации права муниципальной собственности округа на объекты недвижимого имущества.</w:t>
      </w:r>
    </w:p>
    <w:p>
      <w:pPr>
        <w:pStyle w:val="ConsPlusNormal"/>
        <w:ind w:firstLine="540"/>
        <w:jc w:val="both"/>
        <w:rPr/>
      </w:pPr>
      <w:r>
        <w:rPr/>
        <w:t>Обозначенные вопросы в области имущественных и земельных отношений округа требуют комплексного подхода к их решению.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 представляет собой комплексный план действий по внедрению и использованию современных методов, механизмов и инструментов организации управления муниципальным имуществом округа, а также земельными участками, государственная собственность на которые не разграничена, земельными участками, находящимися в границах поселений округа. Реализация программы в конечном итоге приведет к увеличению доходной части бюджета округа от использования имущества и земельных участков, находящихся в муниципальной собственности округа, от земельных участков, государственная собственность на которые не разграничена, а также от доходов полученных в результате приватизации имущества.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Раздел 2. Обоснование</w:t>
      </w:r>
    </w:p>
    <w:p>
      <w:pPr>
        <w:pStyle w:val="Normal"/>
        <w:spacing w:lineRule="exact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необходимых объемов бюджетных ассигнований бюджета Петровского городского округа Ставропольского края на реализацию основных мероприятий муниципальной программы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Муниципальная программа Петровского городского округа Ставропольского края «Управление имуществом» (далее - Программа) предусматривает реализацию 3 основных мероприятий, направленных на достижение поставленных целей. Финансовое обеспечение требуется для реализации 3-х основных мероприятий подпрограмм Программы. </w:t>
      </w:r>
    </w:p>
    <w:tbl>
      <w:tblPr>
        <w:tblW w:w="9570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7094"/>
      </w:tblGrid>
      <w:tr>
        <w:trPr/>
        <w:tc>
          <w:tcPr>
            <w:tcW w:w="2476" w:type="dxa"/>
            <w:tcBorders/>
            <w:shd w:fill="auto" w:val="clear"/>
          </w:tcPr>
          <w:p>
            <w:pPr>
              <w:pStyle w:val="Style24"/>
              <w:snapToGrid w:val="false"/>
              <w:rPr/>
            </w:pPr>
            <w:r>
              <w:rPr/>
            </w:r>
          </w:p>
          <w:p>
            <w:pPr>
              <w:pStyle w:val="Style24"/>
              <w:rPr/>
            </w:pPr>
            <w:r>
              <w:rPr/>
              <w:t xml:space="preserve">Объемы и источники финансового обеспечения Программы </w:t>
            </w:r>
          </w:p>
        </w:tc>
        <w:tc>
          <w:tcPr>
            <w:tcW w:w="709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объем финансового обеспечения Программы составит 36110,00 тыс. рублей, в том числе по источникам финансового обеспечения: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бюджет Ставропольского края (далее - краевой бюджет) – 0,00 тыс. рублей, в том числе по годам: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 – 36110,00 тыс. рублей, в том числе по годам: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– 6010,00тыс.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6020,00тыс.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– 6020,00тыс.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– 6020,00тыс.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– 6020,00тыс.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– 6020,00тыс. рублей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налоговые расходы бюджета округа - 00,00 тыс. рублей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том числе по годам: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2026 год – 0,00тыс. рублей;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средства участников  Программы – 0,00 тыс. рублей, в том числе по годам: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– 0,00тыс.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2026 год – 0,00тыс. рублей;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Обоснование планируемых объемов ресурсов на реализацию Программы приведено в Приложении 1.</w:t>
      </w:r>
    </w:p>
    <w:p>
      <w:pPr>
        <w:pStyle w:val="Style2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Раздел 3. Сведения об основных мерах правового регулирования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сфере реализации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ind w:firstLine="709"/>
        <w:jc w:val="both"/>
        <w:rPr/>
      </w:pPr>
      <w:r>
        <w:rPr>
          <w:color w:val="000000"/>
          <w:sz w:val="28"/>
          <w:szCs w:val="28"/>
        </w:rPr>
        <w:t>Программа сформирована исходя из целей социально-экономического развития Петровского городского округа Ставропольского края и показателей их достижения в соответствии с:</w:t>
      </w:r>
    </w:p>
    <w:p>
      <w:pPr>
        <w:pStyle w:val="Style1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«Указом Президента Российской Федерации от 07 мая  2018 года № 204 « О национальных целях  и стратегических задачах развития Российской Федерации на период до 2024 года»,</w:t>
      </w:r>
    </w:p>
    <w:p>
      <w:pPr>
        <w:pStyle w:val="Style1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Указом Президента Российской Федерации от 28 апреля 2008 года     № 607 «Об оценке эффективности деятельности органов местного самоуправления городских округов и муниципальных районов», </w:t>
      </w:r>
    </w:p>
    <w:p>
      <w:pPr>
        <w:pStyle w:val="Style1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Указом Президента Российской Федерации от 07 мая 2012 года № 601 «Об  основных направлениях совершенствования системы государственного управления»,</w:t>
      </w:r>
    </w:p>
    <w:p>
      <w:pPr>
        <w:pStyle w:val="Style19"/>
        <w:ind w:firstLine="709"/>
        <w:jc w:val="both"/>
        <w:rPr/>
      </w:pPr>
      <w:r>
        <w:rPr>
          <w:color w:val="000000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Федерации»;</w:t>
      </w:r>
    </w:p>
    <w:p>
      <w:pPr>
        <w:pStyle w:val="Style19"/>
        <w:ind w:firstLine="709"/>
        <w:jc w:val="both"/>
        <w:rPr/>
      </w:pPr>
      <w:r>
        <w:rPr>
          <w:color w:val="000000"/>
          <w:sz w:val="28"/>
          <w:szCs w:val="28"/>
        </w:rPr>
        <w:t>Федеральным законом от 25 октября 2001 года № 136-ФЗ «Земельный кодекс Российской Федерации» (ред. от 03.08.2018) и иными нормативными правовыми актами Российской Федерации;</w:t>
      </w:r>
    </w:p>
    <w:p>
      <w:pPr>
        <w:pStyle w:val="Style1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21 декабря 2001 года № 178-ФЗ «О приватизации государственного и муниципального имущества»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Федеральным законом от 26 июля 2006 года № 135-ФЗ «О защите конкуренции»; </w:t>
      </w:r>
    </w:p>
    <w:p>
      <w:pPr>
        <w:pStyle w:val="Style1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экономического развития Российской Федерации от 30 августа 2011года № 424 «Об утверждении Порядка ведения органами местного самоуправления реестров муниципального имущества»;</w:t>
      </w:r>
    </w:p>
    <w:p>
      <w:pPr>
        <w:pStyle w:val="Style19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Приказом Федеральной антимонопольной службы Российской Федерации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>
      <w:pPr>
        <w:pStyle w:val="Style19"/>
        <w:ind w:firstLine="709"/>
        <w:jc w:val="both"/>
        <w:rPr/>
      </w:pPr>
      <w:r>
        <w:rPr>
          <w:color w:val="000000"/>
          <w:sz w:val="28"/>
          <w:szCs w:val="28"/>
        </w:rPr>
        <w:t>Законом Ставропольского края от 09 апреля 2015 года № 36-кз «О некоторых вопросах регулирования земельных отношений» (ред. от 04 июля 2018);</w:t>
      </w:r>
    </w:p>
    <w:p>
      <w:pPr>
        <w:pStyle w:val="Style19"/>
        <w:ind w:firstLine="709"/>
        <w:jc w:val="both"/>
        <w:rPr/>
      </w:pPr>
      <w:r>
        <w:rPr>
          <w:color w:val="000000"/>
          <w:sz w:val="28"/>
          <w:szCs w:val="28"/>
        </w:rPr>
        <w:t>Законом Ставропольского края от 13 марта 2009 года № 11-кз «О некоторых вопросах разграничения муниципального имущества на территории Ставропольского края» (ред. от 24 декабря 2010) и иными нормативными правовыми актами Ставропольского края;</w:t>
      </w:r>
    </w:p>
    <w:p>
      <w:pPr>
        <w:pStyle w:val="Style1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Уставом Петровского городского округа Ставропольского края, правовыми актами органов местного самоуправления Петровского городского округа Ставропольского края;</w:t>
      </w:r>
    </w:p>
    <w:p>
      <w:pPr>
        <w:pStyle w:val="Style19"/>
        <w:ind w:firstLine="709"/>
        <w:jc w:val="both"/>
        <w:rPr/>
      </w:pPr>
      <w:r>
        <w:rPr>
          <w:color w:val="000000"/>
          <w:sz w:val="28"/>
          <w:szCs w:val="28"/>
        </w:rPr>
        <w:t>Решением Совета депутатов Петровского городского округа Ставропольского края от 14 декабря 2018 года № 196 «Об утверждении стратегии социально-экономического развития Петровского городского округа Ставропольского края до 2035 года»;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Постановлением администрации Петровского городского округа Ставропольского края от 29 мая 2019 г. № 1188 «Об утверждении административного регламента предоставления администрацией Петровского городского округа Ставропольского края  муниципальной услуги «Предоставление информации об объектах учета, содержащейся в реестре муниципальной собственности»;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Постановлением администрации Петровского городского округа Ставропольского края от 21 июня 2019 г. № 1327 «Об утверждении административного регламента предоставления администрацией Петровского городского округа Ставропольского края 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Постановлением администрации Петровского городского округа Ставропольского края от 21 февраля 2020 г. № 222 «Об утверждении административного регламента предоставления администрацией Петровского городского округа Ставропольского края  муниципальной услуги «Приватизация жилых помещений в муниципальном жилищном фонде, занимаемых гражданами на условиях социального найма»;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Постановлением администрации Петровского городского округа Ставропольского края от 21 февраля 2020 г. № 223 «Об утверждении административного регламента предоставления администрацией Петровского городского округа Ставропольского края  муниципальной услуги «Предоставление муниципального имущества во временное владение и пользование гражданам и юридическим лицам»;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Постановлением администрации Петровского городского округа Ставропольского края от 21 февраля 2020 г. № 224 «Об утверждении административного регламента предоставления администрацией Петровского городского округа Ставропольского края  муниципальной услуги «Предоставление в аренду муниципального имущества, находящегося в муниципальной собственности Петровского городского округа Ставропольского края»;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Постановлением администрации Петровского городского округа Ставропольского края от 21 февраля 2020 г. № 225 «Об утверждении административного регламента предоставления администрацией Петровского городского округа Ставропольского края  муниципальной услуги «Предоставление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Положением об отделе имущественных и земельных отношений администрации Петровского городского округа Ставропольского края.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настоящий момент нормативно правовая база отдела имущественных и земельных отношений администрации Петровского городского округа Ставропольского края сформирована полностью. В дальнейшем разработка и утверждение нормативных правовых актов будет обусловлена: изменениями федерального законодательства; изменениями регионального законодательства; принятыми управленческими решениями.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2536">
        <w:r>
          <w:rPr>
            <w:rStyle w:val="Style15"/>
            <w:rFonts w:cs="Times New Roman" w:ascii="Times New Roman" w:hAnsi="Times New Roman"/>
            <w:color w:val="000000"/>
            <w:sz w:val="28"/>
            <w:szCs w:val="28"/>
            <w:u w:val="none"/>
          </w:rPr>
          <w:t>Сведения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об основных мерах правового регулирования в сфере реализации Программы приведены в Приложении 2.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Раздел 4. Сведения об источнике информации и методике расчета индикаторов достижения целей муниципальной программы и показателей решения задач подпрограмм муниципальной программы</w:t>
      </w:r>
    </w:p>
    <w:p>
      <w:pPr>
        <w:pStyle w:val="Normal"/>
        <w:widowControl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/>
      </w:pPr>
      <w:hyperlink w:anchor="P1307">
        <w:r>
          <w:rPr>
            <w:rStyle w:val="Style15"/>
          </w:rPr>
          <w:t>Сведения</w:t>
        </w:r>
      </w:hyperlink>
      <w:r>
        <w:rPr/>
        <w:t xml:space="preserve"> о формах государственного (федерального) статистического наблюдения, о методиках расчета значений индикаторов достижения целей Программы и показателей решения задач подпрограмм Программы представлены в Приложении 3. 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center"/>
        <w:rPr/>
      </w:pPr>
      <w:r>
        <w:rPr/>
        <w:t>Раздел 5. Основные параметры потребности в трудовых ресурсах для реализации муниципальной программы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 xml:space="preserve">Для реализации Программы достаточно штатной численности ответственного исполнителя.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в привлечении специалистов инженерно-технических специальностей для реализации Программы отсутствует.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ar-SA"/>
        </w:rPr>
        <w:t>Начальник отдела имущественных</w:t>
      </w:r>
    </w:p>
    <w:p>
      <w:p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ar-SA"/>
        </w:rPr>
        <w:t xml:space="preserve">и земельных отношений администрации </w:t>
      </w:r>
    </w:p>
    <w:p>
      <w:pPr>
        <w:pStyle w:val="Normal"/>
        <w:suppressAutoHyphens w:val="true"/>
        <w:spacing w:lineRule="exact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ar-SA"/>
        </w:rPr>
        <w:t>Петровского городского округа</w:t>
      </w:r>
    </w:p>
    <w:p>
      <w:pPr>
        <w:pStyle w:val="Normal"/>
        <w:suppressAutoHyphens w:val="true"/>
        <w:spacing w:lineRule="exact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ar-SA"/>
        </w:rPr>
        <w:t>Ставропольского края                                                                       Н. А. Мишура</w:t>
      </w:r>
    </w:p>
    <w:p>
      <w:p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/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ОБОСНОВАНИЕ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планируемых объемов ресурсов на реализацию муниципальной программы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5036" w:type="dxa"/>
        <w:jc w:val="left"/>
        <w:tblInd w:w="0" w:type="dxa"/>
        <w:tblCellMar>
          <w:top w:w="0" w:type="dxa"/>
          <w:left w:w="62" w:type="dxa"/>
          <w:bottom w:w="0" w:type="dxa"/>
          <w:right w:w="62" w:type="dxa"/>
        </w:tblCellMar>
      </w:tblPr>
      <w:tblGrid>
        <w:gridCol w:w="713"/>
        <w:gridCol w:w="3256"/>
        <w:gridCol w:w="7371"/>
        <w:gridCol w:w="3696"/>
      </w:tblGrid>
      <w:tr>
        <w:trPr>
          <w:trHeight w:val="1355" w:hRule="atLeast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Объемы средств бюджета Петровского городского округа Ставропольского края (далее – бюджет округа)  </w:t>
            </w:r>
          </w:p>
        </w:tc>
      </w:tr>
      <w:tr>
        <w:trPr>
          <w:trHeight w:val="111" w:hRule="atLeast"/>
        </w:trPr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516" w:hRule="atLeast"/>
        </w:trPr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3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/>
            </w:pPr>
            <w:r>
              <w:rPr>
                <w:rFonts w:eastAsia="Cambria" w:cs="Times New Roman" w:ascii="Times New Roman" w:hAnsi="Times New Roman"/>
                <w:b/>
                <w:sz w:val="24"/>
                <w:szCs w:val="24"/>
              </w:rPr>
              <w:t>Подпрограмма «Управление муниципальной собственностью в области имущественных и земельных отношений»</w:t>
            </w:r>
          </w:p>
        </w:tc>
      </w:tr>
      <w:tr>
        <w:trPr/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Постановка на кадастровый учет имущества, в том числе земельных участков, находящегося в муниципальной собственности округа, а так же земельных участков, государственная собственность на которые не разграничена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Мероприятие направлено на увеличение количества имущества, в том числе земельных участков, находящегося в муниципальной собственности Петровского городского округа Ставропольского края, а также   земельных участков, государственная собственность на которые не разграничена, земельных участков,  находящихся в границах поселений Петровского городского округа Ставропольского края, сведения о которых уточнены в государственном кадастре объектов недвижимости.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выполнения данного мероприятия за счет средств бюджета округа в 2021 - 2026 годах необходимо 600,00 тыс. рублей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ежегодно с 2021 по 2026 год включительно по 100,00 тысяч рублей</w:t>
            </w:r>
          </w:p>
        </w:tc>
      </w:tr>
      <w:tr>
        <w:trPr/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 неиспользуемых, пустующих объектов)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Мероприятие направлено на оптимизацию структуры муниципального имущества, в том числе земельных участков,   находящегося в собственности  Петровского городского округа Ставропольского края, а так же земельных участков,  находящихся в границах поселений Петровского городского округа Ставропольского края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ежегодно с 2021 по 2026 год включительно по 0,00 тысяч рублей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3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4"/>
                <w:szCs w:val="24"/>
              </w:rPr>
              <w:t>Подпрограмма 2 «Обеспечение реализации муниципальной программы Петровского городского округа Ставропольского края «Управление имуществом» и общепрограмные мероприятия»</w:t>
            </w:r>
          </w:p>
        </w:tc>
      </w:tr>
      <w:tr>
        <w:trPr/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деятельности по реализации муниципальной программы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Мероприятие направлено на обеспечение деятельности отдела по реализации муниципальной программы.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выполнения данного мероприятия за счет средств бюджета округа в 2021 - 2026 годах необходимо 35510,00 тыс. рублей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 год -5910,00 тысячи рублей,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ежегодно с 2022 по 2026 год включительно по 5920,00 тысяч рублей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2</w:t>
      </w:r>
    </w:p>
    <w:p>
      <w:pPr>
        <w:pStyle w:val="ConsPlusNormal"/>
        <w:jc w:val="center"/>
        <w:rPr/>
      </w:pPr>
      <w:r>
        <w:rPr/>
        <w:t>СВЕДЕНИЯ</w:t>
      </w:r>
    </w:p>
    <w:p>
      <w:pPr>
        <w:pStyle w:val="ConsPlusNormal"/>
        <w:jc w:val="center"/>
        <w:rPr/>
      </w:pPr>
      <w:r>
        <w:rPr/>
        <w:t>об основных мерах правового регулирования</w:t>
      </w:r>
    </w:p>
    <w:p>
      <w:pPr>
        <w:pStyle w:val="ConsPlusNormal"/>
        <w:jc w:val="center"/>
        <w:rPr/>
      </w:pPr>
      <w:r>
        <w:rPr/>
        <w:t>в сфере реализации муниципальной программы</w:t>
      </w:r>
    </w:p>
    <w:p>
      <w:pPr>
        <w:pStyle w:val="ConsPlusNormal"/>
        <w:rPr/>
      </w:pPr>
      <w:r>
        <w:rPr/>
      </w:r>
    </w:p>
    <w:tbl>
      <w:tblPr>
        <w:tblW w:w="15036" w:type="dxa"/>
        <w:jc w:val="left"/>
        <w:tblInd w:w="0" w:type="dxa"/>
        <w:tblCellMar>
          <w:top w:w="0" w:type="dxa"/>
          <w:left w:w="62" w:type="dxa"/>
          <w:bottom w:w="0" w:type="dxa"/>
          <w:right w:w="62" w:type="dxa"/>
        </w:tblCellMar>
      </w:tblPr>
      <w:tblGrid>
        <w:gridCol w:w="502"/>
        <w:gridCol w:w="2553"/>
        <w:gridCol w:w="5025"/>
        <w:gridCol w:w="2758"/>
        <w:gridCol w:w="4198"/>
      </w:tblGrid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сроки принятия нормативного правового акта</w:t>
            </w:r>
          </w:p>
        </w:tc>
      </w:tr>
      <w:tr>
        <w:trPr>
          <w:trHeight w:val="28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28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eastAsia="Cambria"/>
                <w:b/>
                <w:sz w:val="24"/>
                <w:szCs w:val="24"/>
              </w:rPr>
              <w:t>Подпрограмма «Управление муниципальной собственностью в области имущественных и земельных отношений»</w:t>
            </w:r>
          </w:p>
        </w:tc>
      </w:tr>
      <w:tr>
        <w:trPr>
          <w:trHeight w:val="28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Совета депутатов Петровского городского округа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before="0" w:after="1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 утверждении Прогнозного плана (программы) приватизации муниципального имущества Петровского городского округа Ставропольского края 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в 4 квартале</w:t>
            </w:r>
          </w:p>
          <w:p>
            <w:pPr>
              <w:pStyle w:val="ConsPlusNormal"/>
              <w:jc w:val="center"/>
              <w:rPr/>
            </w:pPr>
            <w:r>
              <w:rPr>
                <w:sz w:val="24"/>
                <w:szCs w:val="24"/>
              </w:rPr>
              <w:t>с 2021 по 2026 год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autoSpaceDE w:val="false"/>
        <w:spacing w:lineRule="exact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3</w:t>
      </w:r>
    </w:p>
    <w:p>
      <w:pPr>
        <w:pStyle w:val="Normal"/>
        <w:widowControl w:val="false"/>
        <w:autoSpaceDE w:val="false"/>
        <w:spacing w:lineRule="exact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autoSpaceDE w:val="fals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</w:t>
      </w:r>
    </w:p>
    <w:p>
      <w:pPr>
        <w:pStyle w:val="Normal"/>
        <w:widowControl w:val="false"/>
        <w:autoSpaceDE w:val="fals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источнике информации и методике расчета</w:t>
      </w:r>
    </w:p>
    <w:p>
      <w:pPr>
        <w:pStyle w:val="Normal"/>
        <w:widowControl w:val="false"/>
        <w:autoSpaceDE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индикаторов достижения целей муниципальной программы и </w:t>
      </w:r>
    </w:p>
    <w:p>
      <w:pPr>
        <w:pStyle w:val="Normal"/>
        <w:widowControl w:val="false"/>
        <w:autoSpaceDE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показателей решения задач подпрограмм муниципальной программы</w:t>
      </w:r>
    </w:p>
    <w:p>
      <w:pPr>
        <w:pStyle w:val="Normal"/>
        <w:widowControl w:val="false"/>
        <w:autoSpaceDE w:val="false"/>
        <w:spacing w:lineRule="exact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5462" w:type="dxa"/>
        <w:jc w:val="left"/>
        <w:tblInd w:w="-431" w:type="dxa"/>
        <w:tblCellMar>
          <w:top w:w="0" w:type="dxa"/>
          <w:left w:w="62" w:type="dxa"/>
          <w:bottom w:w="0" w:type="dxa"/>
          <w:right w:w="62" w:type="dxa"/>
        </w:tblCellMar>
      </w:tblPr>
      <w:tblGrid>
        <w:gridCol w:w="710"/>
        <w:gridCol w:w="3118"/>
        <w:gridCol w:w="1276"/>
        <w:gridCol w:w="7513"/>
        <w:gridCol w:w="2845"/>
      </w:tblGrid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Единица измере-</w:t>
            </w:r>
          </w:p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Источник информации 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(методика расчета)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>
        <w:trPr>
          <w:trHeight w:val="19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9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14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Программа «Управление имуществом»</w:t>
            </w:r>
          </w:p>
        </w:tc>
      </w:tr>
      <w:tr>
        <w:trPr>
          <w:trHeight w:val="9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плановых назначений поступлений в бюджет округа доходов от использования недвижимого имущества,  в том числе земельных участков, находящегося в муниципальной собственности округа, а также   земельных участков, государственная собственность на которые не разграничена.</w:t>
            </w:r>
          </w:p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Проценты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 отдела имущественных и земельных отношений рассчитывается по формуле: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Фактически полученные доходы в отчетном периоде /  план по доходам отчетного периода х 100 %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течении года ежеквартально</w:t>
            </w:r>
          </w:p>
        </w:tc>
      </w:tr>
      <w:tr>
        <w:trPr>
          <w:trHeight w:val="9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просроченной дебиторской задолженности по арендной плате за пользование муниципальным имуществом,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 отдела имущественных и земельных отношений рассчитывается по формуле: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Согласно договоров аренды, арендная плата вноситься арендаторами ежеквартально равными долями до 15.03, 15.06, 15.09, 15.11.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i/>
                <w:iCs/>
                <w:color w:val="000000"/>
                <w:sz w:val="24"/>
                <w:szCs w:val="24"/>
                <w:shd w:fill="FFFFFF" w:val="clear"/>
              </w:rPr>
              <w:t>«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Задолженность по арендной плате, не оплаченная в установленный договором срок, представляет собой просроченную дебиторскую задолженность</w:t>
            </w:r>
            <w:r>
              <w:rPr>
                <w:rFonts w:cs="Arial" w:ascii="Arial" w:hAnsi="Arial"/>
                <w:color w:val="000000"/>
                <w:sz w:val="16"/>
                <w:szCs w:val="16"/>
                <w:shd w:fill="FFFFFF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 рассчитывается :</w:t>
            </w:r>
            <w:r>
              <w:rPr>
                <w:rFonts w:cs="Arial" w:ascii="Arial" w:hAnsi="Arial"/>
                <w:color w:val="000000"/>
                <w:sz w:val="16"/>
                <w:szCs w:val="16"/>
                <w:shd w:fill="FFFFFF" w:val="clear"/>
              </w:rPr>
              <w:t xml:space="preserve"> 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highlight w:val="white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ачисленная за квартал арендная плата - перечисленная  за квартал арендная плата</w:t>
            </w:r>
          </w:p>
          <w:p>
            <w:pPr>
              <w:pStyle w:val="Style28"/>
              <w:shd w:fill="FFFFFF" w:val="clear"/>
              <w:spacing w:lineRule="atLeast" w:line="360" w:before="280" w:after="200"/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  <w:shd w:fill="FFFFFF" w:val="clear"/>
              </w:rPr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течении года  ежеквартально</w:t>
            </w:r>
            <w:r>
              <w:rPr>
                <w:rFonts w:cs="Arial" w:ascii="Arial" w:hAnsi="Arial"/>
                <w:color w:val="3C3E44"/>
                <w:sz w:val="16"/>
                <w:szCs w:val="16"/>
                <w:shd w:fill="FFFFFF" w:val="clear"/>
              </w:rPr>
              <w:t xml:space="preserve"> 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color w:val="3C3E44"/>
                <w:sz w:val="24"/>
                <w:szCs w:val="24"/>
                <w:highlight w:val="white"/>
              </w:rPr>
            </w:pPr>
            <w:r>
              <w:rPr>
                <w:rFonts w:cs="Times New Roman" w:ascii="Times New Roman" w:hAnsi="Times New Roman"/>
                <w:color w:val="3C3E44"/>
                <w:sz w:val="24"/>
                <w:szCs w:val="24"/>
                <w:shd w:fill="FFFFFF" w:val="clear"/>
              </w:rPr>
            </w:r>
          </w:p>
        </w:tc>
      </w:tr>
      <w:tr>
        <w:trPr>
          <w:trHeight w:val="9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плановых бюджетных назначений по получению доходов от приватизации муниципального имущества.</w:t>
            </w:r>
          </w:p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 отдела имущественных и земельных отношений рассчитывается по формуле: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Фактически полученные доходы в отчетном периоде /  план по доходам х 100%</w:t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течении года ежеквартально</w:t>
            </w:r>
          </w:p>
        </w:tc>
      </w:tr>
    </w:tbl>
    <w:p>
      <w:pPr>
        <w:pStyle w:val="Normal"/>
        <w:suppressAutoHyphens w:val="true"/>
        <w:spacing w:lineRule="exact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4">
    <w:name w:val="Основной шрифт абзаца"/>
    <w:qFormat/>
    <w:rPr/>
  </w:style>
  <w:style w:type="character" w:styleId="Style15">
    <w:name w:val="Интернет-ссылка"/>
    <w:basedOn w:val="Style14"/>
    <w:rPr>
      <w:color w:val="0000FF"/>
      <w:u w:val="single"/>
    </w:rPr>
  </w:style>
  <w:style w:type="character" w:styleId="FontStyle15">
    <w:name w:val="Font Style15"/>
    <w:basedOn w:val="Style14"/>
    <w:qFormat/>
    <w:rPr>
      <w:rFonts w:ascii="Times New Roman" w:hAnsi="Times New Roman" w:cs="Times New Roman"/>
      <w:sz w:val="26"/>
      <w:szCs w:val="26"/>
    </w:rPr>
  </w:style>
  <w:style w:type="character" w:styleId="Style16">
    <w:name w:val="Текст выноски Знак"/>
    <w:basedOn w:val="Style14"/>
    <w:qFormat/>
    <w:rPr>
      <w:rFonts w:ascii="Tahoma" w:hAnsi="Tahoma" w:cs="Tahoma"/>
      <w:sz w:val="16"/>
      <w:szCs w:val="16"/>
    </w:rPr>
  </w:style>
  <w:style w:type="character" w:styleId="Style17">
    <w:name w:val="Выделение жирным"/>
    <w:basedOn w:val="Style14"/>
    <w:qFormat/>
    <w:rPr>
      <w:rFonts w:cs="Times New Roman"/>
      <w:b/>
      <w:bCs/>
    </w:rPr>
  </w:style>
  <w:style w:type="character" w:styleId="Style18">
    <w:name w:val="Название Знак"/>
    <w:basedOn w:val="Style14"/>
    <w:qFormat/>
    <w:rPr>
      <w:rFonts w:ascii="Times New Roman" w:hAnsi="Times New Roman" w:cs="Times New Roman"/>
      <w:sz w:val="40"/>
    </w:rPr>
  </w:style>
  <w:style w:type="paragraph" w:styleId="Style19">
    <w:name w:val="Заголовок"/>
    <w:basedOn w:val="Normal"/>
    <w:next w:val="Style20"/>
    <w:qFormat/>
    <w:pPr>
      <w:spacing w:lineRule="auto" w:line="240" w:before="0" w:after="0"/>
      <w:jc w:val="center"/>
    </w:pPr>
    <w:rPr>
      <w:rFonts w:ascii="Times New Roman" w:hAnsi="Times New Roman" w:cs="Times New Roman"/>
      <w:sz w:val="40"/>
      <w:szCs w:val="20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Droid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>
    <w:name w:val="ConsPlusNormal"/>
    <w:qFormat/>
    <w:pPr>
      <w:widowControl/>
      <w:autoSpaceDE w:val="false"/>
    </w:pPr>
    <w:rPr>
      <w:rFonts w:ascii="Times New Roman" w:hAnsi="Times New Roman" w:eastAsia="Times New Roman" w:cs="Times New Roman"/>
      <w:color w:val="auto"/>
      <w:sz w:val="28"/>
      <w:szCs w:val="28"/>
      <w:lang w:val="ru-RU" w:bidi="ar-SA" w:eastAsia="zh-CN"/>
    </w:rPr>
  </w:style>
  <w:style w:type="paragraph" w:styleId="Style24">
    <w:name w:val="Без интервала"/>
    <w:qFormat/>
    <w:pPr>
      <w:widowControl/>
    </w:pPr>
    <w:rPr>
      <w:rFonts w:ascii="Times New Roman" w:hAnsi="Times New Roman" w:eastAsia="Calibri" w:cs="Times New Roman"/>
      <w:color w:val="auto"/>
      <w:sz w:val="28"/>
      <w:szCs w:val="22"/>
      <w:lang w:val="ru-RU" w:bidi="ar-SA" w:eastAsia="zh-CN"/>
    </w:rPr>
  </w:style>
  <w:style w:type="paragraph" w:styleId="ConsPlusCell">
    <w:name w:val="ConsPlusCell"/>
    <w:qFormat/>
    <w:pPr>
      <w:widowControl/>
      <w:suppressAutoHyphens w:val="true"/>
      <w:autoSpaceDE w:val="false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61">
    <w:name w:val="Style6"/>
    <w:basedOn w:val="Normal"/>
    <w:qFormat/>
    <w:pPr>
      <w:widowControl w:val="false"/>
      <w:autoSpaceDE w:val="false"/>
      <w:spacing w:lineRule="exact" w:line="302" w:before="0" w:after="0"/>
      <w:ind w:firstLine="509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25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28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cs="Times New Roman"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E77A83E5023331EE9C79F0BAF5394D7FD30D274B728A69AE00E383A855O8kF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7</TotalTime>
  <Application>LibreOffice/6.2.8.2$Linux_X86_64 LibreOffice_project/20$Build-2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2020-11-13T14:41:00Z</dcterms:created>
  <dc:creator>Отдел экономичесого развития</dc:creator>
  <dc:description/>
  <cp:keywords/>
  <dc:language>ru-RU</dc:language>
  <cp:lastModifiedBy/>
  <cp:lastPrinted>2020-07-15T14:01:00Z</cp:lastPrinted>
  <dcterms:modified xsi:type="dcterms:W3CDTF">2021-02-03T15:38:58Z</dcterms:modified>
  <cp:revision>5</cp:revision>
  <dc:subject/>
  <dc:title/>
</cp:coreProperties>
</file>