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145" w:type="dxa"/>
        <w:tblInd w:w="5353" w:type="dxa"/>
        <w:tblLayout w:type="fixed"/>
        <w:tblLook w:val="01E0" w:firstRow="1" w:lastRow="1" w:firstColumn="1" w:lastColumn="1" w:noHBand="0" w:noVBand="0"/>
      </w:tblPr>
      <w:tblGrid>
        <w:gridCol w:w="4145"/>
      </w:tblGrid>
      <w:tr w:rsidR="00431D63" w:rsidRPr="00D97E3C" w:rsidTr="008861D7">
        <w:tc>
          <w:tcPr>
            <w:tcW w:w="4145" w:type="dxa"/>
          </w:tcPr>
          <w:p w:rsidR="00431D63" w:rsidRPr="00D97E3C" w:rsidRDefault="00431D63" w:rsidP="00EF2424">
            <w:pPr>
              <w:spacing w:after="0" w:line="240" w:lineRule="exact"/>
              <w:ind w:hanging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E3C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D97E3C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Приложение </w:t>
            </w:r>
          </w:p>
        </w:tc>
      </w:tr>
      <w:tr w:rsidR="00431D63" w:rsidRPr="00D97E3C" w:rsidTr="008861D7">
        <w:trPr>
          <w:trHeight w:val="1321"/>
        </w:trPr>
        <w:tc>
          <w:tcPr>
            <w:tcW w:w="4145" w:type="dxa"/>
            <w:tcBorders>
              <w:bottom w:val="nil"/>
            </w:tcBorders>
          </w:tcPr>
          <w:p w:rsidR="00431D63" w:rsidRPr="00D97E3C" w:rsidRDefault="00E57519" w:rsidP="00EF24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C1852"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предварительному </w:t>
            </w:r>
            <w:r w:rsidRPr="00D97E3C">
              <w:rPr>
                <w:rFonts w:ascii="Times New Roman" w:hAnsi="Times New Roman" w:cs="Times New Roman"/>
                <w:sz w:val="28"/>
                <w:szCs w:val="28"/>
              </w:rPr>
              <w:t>прогнозу</w:t>
            </w:r>
            <w:r w:rsidR="00431D63"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 развития Петровского </w:t>
            </w:r>
            <w:r w:rsidR="008861D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D71AA7"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на</w:t>
            </w:r>
            <w:r w:rsidR="00FD01CF"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54D" w:rsidRPr="00D97E3C">
              <w:rPr>
                <w:rFonts w:ascii="Times New Roman" w:hAnsi="Times New Roman" w:cs="Times New Roman"/>
                <w:sz w:val="28"/>
                <w:szCs w:val="28"/>
              </w:rPr>
              <w:t>период 2024-2026</w:t>
            </w:r>
            <w:r w:rsidR="00EC1852" w:rsidRPr="00D97E3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:rsidR="00EF2424" w:rsidRDefault="00EF2424" w:rsidP="00EF2424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2424" w:rsidRPr="00D97E3C" w:rsidRDefault="00EF2424" w:rsidP="00EF242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4897" w:rsidRPr="00D97E3C" w:rsidRDefault="00BC4897" w:rsidP="00EF242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ПОЯСНИТЕЛЬНАЯ ЗАПИСКА</w:t>
      </w:r>
    </w:p>
    <w:p w:rsidR="0093710B" w:rsidRDefault="002268FF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8E0049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C1852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предварительному 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прогнозу </w:t>
      </w:r>
      <w:r w:rsidR="00FD01CF" w:rsidRPr="00D97E3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Петровского </w:t>
      </w:r>
      <w:r w:rsidR="008861D7">
        <w:rPr>
          <w:rFonts w:ascii="Times New Roman" w:hAnsi="Times New Roman" w:cs="Times New Roman"/>
          <w:sz w:val="28"/>
          <w:szCs w:val="28"/>
        </w:rPr>
        <w:t>муниципального</w:t>
      </w:r>
      <w:r w:rsidR="00D71AA7" w:rsidRPr="00D97E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1CF" w:rsidRPr="00D97E3C">
        <w:rPr>
          <w:rFonts w:ascii="Times New Roman" w:hAnsi="Times New Roman" w:cs="Times New Roman"/>
          <w:sz w:val="28"/>
          <w:szCs w:val="28"/>
        </w:rPr>
        <w:t xml:space="preserve"> Став</w:t>
      </w:r>
      <w:r w:rsidR="001A0D2F" w:rsidRPr="00D97E3C">
        <w:rPr>
          <w:rFonts w:ascii="Times New Roman" w:hAnsi="Times New Roman" w:cs="Times New Roman"/>
          <w:sz w:val="28"/>
          <w:szCs w:val="28"/>
        </w:rPr>
        <w:t xml:space="preserve">ропольского края </w:t>
      </w:r>
    </w:p>
    <w:p w:rsidR="00431D63" w:rsidRPr="00D97E3C" w:rsidRDefault="001A0D2F" w:rsidP="0093710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на </w:t>
      </w:r>
      <w:r w:rsidR="00FD01CF" w:rsidRPr="00D97E3C">
        <w:rPr>
          <w:rFonts w:ascii="Times New Roman" w:hAnsi="Times New Roman" w:cs="Times New Roman"/>
          <w:sz w:val="28"/>
          <w:szCs w:val="28"/>
        </w:rPr>
        <w:t>период 20</w:t>
      </w:r>
      <w:r w:rsidR="007528D5" w:rsidRPr="00D97E3C">
        <w:rPr>
          <w:rFonts w:ascii="Times New Roman" w:hAnsi="Times New Roman" w:cs="Times New Roman"/>
          <w:sz w:val="28"/>
          <w:szCs w:val="28"/>
        </w:rPr>
        <w:t>24</w:t>
      </w:r>
      <w:r w:rsidR="0039054D" w:rsidRPr="00D97E3C">
        <w:rPr>
          <w:rFonts w:ascii="Times New Roman" w:hAnsi="Times New Roman" w:cs="Times New Roman"/>
          <w:sz w:val="28"/>
          <w:szCs w:val="28"/>
        </w:rPr>
        <w:t>-</w:t>
      </w:r>
      <w:r w:rsidR="00FD01CF" w:rsidRPr="00D97E3C">
        <w:rPr>
          <w:rFonts w:ascii="Times New Roman" w:hAnsi="Times New Roman" w:cs="Times New Roman"/>
          <w:sz w:val="28"/>
          <w:szCs w:val="28"/>
        </w:rPr>
        <w:t>202</w:t>
      </w:r>
      <w:r w:rsidR="0039054D" w:rsidRPr="00D97E3C">
        <w:rPr>
          <w:rFonts w:ascii="Times New Roman" w:hAnsi="Times New Roman" w:cs="Times New Roman"/>
          <w:sz w:val="28"/>
          <w:szCs w:val="28"/>
        </w:rPr>
        <w:t>6</w:t>
      </w:r>
      <w:r w:rsidR="00FD01CF" w:rsidRPr="00D97E3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FD01CF" w:rsidRPr="00D97E3C" w:rsidRDefault="00FD01CF" w:rsidP="00EF2424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1F6F" w:rsidRPr="00D97E3C" w:rsidRDefault="00BC38B7" w:rsidP="00EF2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EC1852" w:rsidRPr="00D97E3C">
        <w:rPr>
          <w:rFonts w:ascii="Times New Roman" w:hAnsi="Times New Roman" w:cs="Times New Roman"/>
          <w:sz w:val="28"/>
          <w:szCs w:val="28"/>
          <w:lang w:eastAsia="en-US"/>
        </w:rPr>
        <w:t>редварительный п</w:t>
      </w:r>
      <w:r w:rsidR="00931F6F"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рогноз 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Петровского </w:t>
      </w:r>
      <w:r w:rsidR="00906DE3">
        <w:rPr>
          <w:rFonts w:ascii="Times New Roman" w:hAnsi="Times New Roman" w:cs="Times New Roman"/>
          <w:sz w:val="28"/>
          <w:szCs w:val="28"/>
        </w:rPr>
        <w:t>муниципального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период 2024 </w:t>
      </w:r>
      <w:r w:rsidR="0039054D" w:rsidRPr="00D97E3C">
        <w:rPr>
          <w:rFonts w:ascii="Times New Roman" w:hAnsi="Times New Roman" w:cs="Times New Roman"/>
          <w:sz w:val="28"/>
          <w:szCs w:val="28"/>
        </w:rPr>
        <w:t>-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202</w:t>
      </w:r>
      <w:r w:rsidR="0039054D" w:rsidRPr="00D97E3C">
        <w:rPr>
          <w:rFonts w:ascii="Times New Roman" w:hAnsi="Times New Roman" w:cs="Times New Roman"/>
          <w:sz w:val="28"/>
          <w:szCs w:val="28"/>
        </w:rPr>
        <w:t>6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годов (далее</w:t>
      </w:r>
      <w:r w:rsidR="00EA775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="00EA775E">
        <w:rPr>
          <w:rFonts w:ascii="Times New Roman" w:hAnsi="Times New Roman" w:cs="Times New Roman"/>
          <w:sz w:val="28"/>
          <w:szCs w:val="28"/>
        </w:rPr>
        <w:t>–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EA775E">
        <w:rPr>
          <w:rFonts w:ascii="Times New Roman" w:hAnsi="Times New Roman" w:cs="Times New Roman"/>
          <w:sz w:val="28"/>
          <w:szCs w:val="28"/>
        </w:rPr>
        <w:t>, округ</w:t>
      </w:r>
      <w:r w:rsidR="00931F6F" w:rsidRPr="00D97E3C">
        <w:rPr>
          <w:rFonts w:ascii="Times New Roman" w:hAnsi="Times New Roman" w:cs="Times New Roman"/>
          <w:sz w:val="28"/>
          <w:szCs w:val="28"/>
        </w:rPr>
        <w:t>)</w:t>
      </w:r>
      <w:r w:rsidR="00B005E1"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="00931F6F" w:rsidRPr="00D97E3C">
        <w:rPr>
          <w:rFonts w:ascii="Times New Roman" w:hAnsi="Times New Roman" w:cs="Times New Roman"/>
          <w:sz w:val="28"/>
          <w:szCs w:val="28"/>
        </w:rPr>
        <w:t>разработан на основе анализа тенденций развития экономики Петровского городского округа Ставропольского края за 202</w:t>
      </w:r>
      <w:r w:rsidR="0039054D" w:rsidRPr="00D97E3C">
        <w:rPr>
          <w:rFonts w:ascii="Times New Roman" w:hAnsi="Times New Roman" w:cs="Times New Roman"/>
          <w:sz w:val="28"/>
          <w:szCs w:val="28"/>
        </w:rPr>
        <w:t>1</w:t>
      </w:r>
      <w:r w:rsidR="00931F6F" w:rsidRPr="00D97E3C">
        <w:rPr>
          <w:rFonts w:ascii="Times New Roman" w:hAnsi="Times New Roman" w:cs="Times New Roman"/>
          <w:sz w:val="28"/>
          <w:szCs w:val="28"/>
        </w:rPr>
        <w:t>-202</w:t>
      </w:r>
      <w:r w:rsidR="0039054D" w:rsidRPr="00D97E3C">
        <w:rPr>
          <w:rFonts w:ascii="Times New Roman" w:hAnsi="Times New Roman" w:cs="Times New Roman"/>
          <w:sz w:val="28"/>
          <w:szCs w:val="28"/>
        </w:rPr>
        <w:t>2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годы и </w:t>
      </w:r>
      <w:r w:rsidR="00EC1852" w:rsidRPr="00D97E3C">
        <w:rPr>
          <w:rFonts w:ascii="Times New Roman" w:hAnsi="Times New Roman" w:cs="Times New Roman"/>
          <w:sz w:val="28"/>
          <w:szCs w:val="28"/>
        </w:rPr>
        <w:t xml:space="preserve">экономической ситуации, 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сложившейся к </w:t>
      </w:r>
      <w:r w:rsidR="00EC1852" w:rsidRPr="00D97E3C">
        <w:rPr>
          <w:rFonts w:ascii="Times New Roman" w:hAnsi="Times New Roman" w:cs="Times New Roman"/>
          <w:sz w:val="28"/>
          <w:szCs w:val="28"/>
        </w:rPr>
        <w:t>июню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202</w:t>
      </w:r>
      <w:r w:rsidR="0039054D" w:rsidRPr="00D97E3C">
        <w:rPr>
          <w:rFonts w:ascii="Times New Roman" w:hAnsi="Times New Roman" w:cs="Times New Roman"/>
          <w:sz w:val="28"/>
          <w:szCs w:val="28"/>
        </w:rPr>
        <w:t>3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года, в соответствии с материалами Министерства экономического развития Российской Федерации, данными Управления Федеральной службы государственной статистики по Северо-Кавказскому Федеральному округу, данными, представленными отделами и органами администрации </w:t>
      </w:r>
      <w:r w:rsidR="0039054D" w:rsidRPr="00D97E3C">
        <w:rPr>
          <w:rFonts w:ascii="Times New Roman" w:hAnsi="Times New Roman" w:cs="Times New Roman"/>
          <w:sz w:val="28"/>
          <w:szCs w:val="28"/>
        </w:rPr>
        <w:t>П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етровского городского округа Ставропольского края, предприятиями и организациями, осуществляющими деятельность на территории округа. Кроме того, в текущем году разработка Прогноза осуществлялась с учетом </w:t>
      </w:r>
      <w:r w:rsidR="00EC1852" w:rsidRPr="00D97E3C">
        <w:rPr>
          <w:rFonts w:ascii="Times New Roman" w:hAnsi="Times New Roman" w:cs="Times New Roman"/>
          <w:sz w:val="28"/>
          <w:szCs w:val="28"/>
        </w:rPr>
        <w:t>сохраняющихся</w:t>
      </w:r>
      <w:r w:rsidR="00931F6F" w:rsidRPr="00D97E3C">
        <w:rPr>
          <w:rFonts w:ascii="Times New Roman" w:hAnsi="Times New Roman" w:cs="Times New Roman"/>
          <w:sz w:val="28"/>
          <w:szCs w:val="28"/>
        </w:rPr>
        <w:t xml:space="preserve"> негативных факторов, обусловленных введением в отношении Российской Федерации санкций недружественными государствами. </w:t>
      </w:r>
    </w:p>
    <w:p w:rsidR="00931F6F" w:rsidRPr="00D97E3C" w:rsidRDefault="00931F6F" w:rsidP="00EF2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 разработан </w:t>
      </w:r>
      <w:r w:rsidRPr="00D97E3C">
        <w:rPr>
          <w:rFonts w:ascii="Times New Roman" w:hAnsi="Times New Roman" w:cs="Times New Roman"/>
          <w:sz w:val="28"/>
          <w:szCs w:val="28"/>
        </w:rPr>
        <w:t xml:space="preserve">в двух вариантах: консервативный и базовый. Различие вариантов обусловлено отличием моделей поведения субъектов предпринимательской деятельности, перспективами повышения конкурентоспособности и эффективностью производства основных видов продукции, возможности сохранения и усиления санкционного давления со стороны недружественных стран. </w:t>
      </w:r>
    </w:p>
    <w:p w:rsidR="00931F6F" w:rsidRPr="00D97E3C" w:rsidRDefault="00931F6F" w:rsidP="00EF2424">
      <w:pPr>
        <w:pStyle w:val="a3"/>
        <w:spacing w:before="0" w:after="0" w:line="240" w:lineRule="auto"/>
        <w:jc w:val="both"/>
        <w:rPr>
          <w:sz w:val="28"/>
          <w:szCs w:val="28"/>
        </w:rPr>
      </w:pPr>
      <w:r w:rsidRPr="00D97E3C">
        <w:rPr>
          <w:sz w:val="28"/>
          <w:szCs w:val="28"/>
        </w:rPr>
        <w:t xml:space="preserve">Консервативный вариант предполагает экономическую неопределенность, </w:t>
      </w:r>
      <w:r w:rsidR="00EC1852" w:rsidRPr="00D97E3C">
        <w:rPr>
          <w:sz w:val="28"/>
          <w:szCs w:val="28"/>
        </w:rPr>
        <w:t xml:space="preserve">обусловленную усиливающимся давлением экономических санкций и, как следствие, </w:t>
      </w:r>
      <w:r w:rsidRPr="00D97E3C">
        <w:rPr>
          <w:sz w:val="28"/>
          <w:szCs w:val="28"/>
        </w:rPr>
        <w:t>сокращение объема</w:t>
      </w:r>
      <w:r w:rsidR="005631CE" w:rsidRPr="00D97E3C">
        <w:rPr>
          <w:sz w:val="28"/>
          <w:szCs w:val="28"/>
        </w:rPr>
        <w:t xml:space="preserve"> </w:t>
      </w:r>
      <w:r w:rsidRPr="00D97E3C">
        <w:rPr>
          <w:sz w:val="28"/>
          <w:szCs w:val="28"/>
        </w:rPr>
        <w:t>производства основной промышленной и сельскохозяйственной продукции, объемов инвестиций, сокращение численности населения округа.</w:t>
      </w:r>
    </w:p>
    <w:p w:rsidR="00931F6F" w:rsidRPr="00D97E3C" w:rsidRDefault="00931F6F" w:rsidP="00EF2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В базовый вариант заложена </w:t>
      </w:r>
      <w:r w:rsidR="0069667F">
        <w:rPr>
          <w:rFonts w:ascii="Times New Roman" w:eastAsia="Times New Roman" w:hAnsi="Times New Roman" w:cs="Times New Roman"/>
          <w:sz w:val="28"/>
          <w:szCs w:val="28"/>
        </w:rPr>
        <w:t>более активная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 экономическая политика. В частности предполагается: рост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темпов производства по основным видам экономической деятельности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; более активная инвестиционная политика </w:t>
      </w:r>
      <w:r w:rsidRPr="00D97E3C">
        <w:rPr>
          <w:rFonts w:ascii="Times New Roman" w:hAnsi="Times New Roman" w:cs="Times New Roman"/>
          <w:sz w:val="28"/>
          <w:szCs w:val="28"/>
        </w:rPr>
        <w:t xml:space="preserve">крупных и средних предприятий округа, а также субъектов малого предпринимательства и индивидуальных предпринимателей; снижение уровня регистрируемой безработицы, </w:t>
      </w:r>
      <w:r w:rsidR="00EC1852" w:rsidRPr="00D97E3C">
        <w:rPr>
          <w:rFonts w:ascii="Times New Roman" w:hAnsi="Times New Roman" w:cs="Times New Roman"/>
          <w:sz w:val="28"/>
          <w:szCs w:val="28"/>
        </w:rPr>
        <w:t>стабилизация</w:t>
      </w:r>
      <w:r w:rsidRPr="00D97E3C">
        <w:rPr>
          <w:rFonts w:ascii="Times New Roman" w:hAnsi="Times New Roman" w:cs="Times New Roman"/>
          <w:sz w:val="28"/>
          <w:szCs w:val="28"/>
        </w:rPr>
        <w:t xml:space="preserve"> демографических показателей.</w:t>
      </w:r>
      <w:r w:rsidR="00EC1852" w:rsidRPr="00D97E3C">
        <w:rPr>
          <w:rFonts w:ascii="Times New Roman" w:hAnsi="Times New Roman" w:cs="Times New Roman"/>
          <w:sz w:val="28"/>
          <w:szCs w:val="28"/>
        </w:rPr>
        <w:t xml:space="preserve"> Базовый вариант является наиболее приемлемым вариантом развития округа на прогнозируемый период.</w:t>
      </w:r>
    </w:p>
    <w:p w:rsidR="00ED6137" w:rsidRPr="00D97E3C" w:rsidRDefault="00ED6137" w:rsidP="00886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Население</w:t>
      </w:r>
    </w:p>
    <w:p w:rsidR="00ED6137" w:rsidRPr="00D97E3C" w:rsidRDefault="00D97E3C" w:rsidP="00D97E3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6137" w:rsidRPr="00D97E3C">
        <w:rPr>
          <w:rFonts w:ascii="Times New Roman" w:eastAsia="Times New Roman" w:hAnsi="Times New Roman" w:cs="Times New Roman"/>
          <w:sz w:val="28"/>
          <w:szCs w:val="28"/>
        </w:rPr>
        <w:t xml:space="preserve"> округе сохраняется негативная </w:t>
      </w:r>
      <w:r w:rsidR="00ED6137" w:rsidRPr="00D97E3C">
        <w:rPr>
          <w:rFonts w:ascii="Times New Roman" w:eastAsia="Times New Roman" w:hAnsi="Times New Roman" w:cs="Times New Roman"/>
          <w:bCs/>
          <w:sz w:val="28"/>
          <w:szCs w:val="28"/>
        </w:rPr>
        <w:t>демографическая ситуация</w:t>
      </w:r>
      <w:r w:rsidR="00ED6137" w:rsidRPr="00D97E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D6137"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официальным статистическим данным общее число родившихся за январь - март 2023 года (131 ребёнок) в 2,2 раза ниже, чем количество умерших (288 человек). Естественная убыль населения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округа </w:t>
      </w:r>
      <w:r w:rsidR="00ED6137"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- 157 человек. Ожидается, что в течение текущего года ситуация немного улучшится в сравнении с 2022 годом за счет сокращения смертности на 2,12 промилле и роста рождаемости на 0,5 промилле.</w:t>
      </w:r>
    </w:p>
    <w:p w:rsidR="00ED6137" w:rsidRPr="00D97E3C" w:rsidRDefault="00ED6137" w:rsidP="00D97E3C">
      <w:pPr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стабилизации демографической ситуации в рамках муниципальной программы «Социальная поддержка граждан» </w:t>
      </w:r>
      <w:bookmarkStart w:id="0" w:name="_Hlk72842150"/>
      <w:r w:rsidRPr="00D97E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меры социальной поддержки</w:t>
      </w:r>
      <w:r w:rsidRPr="00D97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0"/>
      <w:r w:rsidR="00D97E3C"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предоставляются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отдельным категориям граждан, в том числе </w:t>
      </w:r>
      <w:r w:rsid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семьям, имеющим детей, оказывается финансовая поддержка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регионального проекта Ставропольского края «Финансовая поддержка семей при рождении детей». </w:t>
      </w:r>
    </w:p>
    <w:p w:rsidR="00ED6137" w:rsidRPr="00D97E3C" w:rsidRDefault="00EB0E9E" w:rsidP="00D97E3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ED6137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азов</w:t>
      </w:r>
      <w:r w:rsidR="00CB37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ый </w:t>
      </w:r>
      <w:r w:rsidR="00ED6137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вариант прогноза</w:t>
      </w:r>
      <w:r w:rsidR="00CB37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предусматривает, что</w:t>
      </w:r>
      <w:r w:rsidR="00ED6137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концу в 2024 года общий коэффициент рождаемости населения увеличится до 8,3 родившихся живыми на 1,0 тыс. человек населения, а общий коэффициент смертности сократится до 13,3 умерших на 1,0 тыс. населения, и будет зафиксирован небольшой миграционный прирост (0,02 тыс. человек).</w:t>
      </w:r>
    </w:p>
    <w:p w:rsidR="00ED6137" w:rsidRPr="00D97E3C" w:rsidRDefault="00ED6137" w:rsidP="00D97E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Lucida Sans Unicode" w:hAnsi="Times New Roman" w:cs="Times New Roman"/>
          <w:sz w:val="28"/>
          <w:szCs w:val="28"/>
        </w:rPr>
        <w:t>В 2026 году прогнозируется незначительный миграционный прирост -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0,06 тыс. человек, а также снижение коэффициента естественного движения населения </w:t>
      </w:r>
      <w:r w:rsidR="00CB37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расчете на 1000 человек </w:t>
      </w:r>
      <w:r w:rsidR="00D97E3C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до - 4,35</w:t>
      </w:r>
      <w:r w:rsid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с -8,92 в 2022 году.</w:t>
      </w:r>
    </w:p>
    <w:p w:rsidR="00ED6137" w:rsidRPr="00D97E3C" w:rsidRDefault="00ED6137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137" w:rsidRPr="00D97E3C" w:rsidRDefault="00ED6137" w:rsidP="00CB3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b/>
          <w:sz w:val="28"/>
          <w:szCs w:val="28"/>
        </w:rPr>
        <w:t>Промышленное производство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Производство промышленной продукции на территории округа представлено добычей полезных ископаемых, обрабатывающими производствами и жилищно-коммунальным хозяйством.</w:t>
      </w:r>
    </w:p>
    <w:p w:rsidR="00ED6137" w:rsidRPr="00EB0E9E" w:rsidRDefault="00ED6137" w:rsidP="00EB0E9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(далее - объем отгруженной продукции) промышленных предприятий по состоянию на 01 мая 2023 года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составил 2474,93 млн. рублей или 68,5% к </w:t>
      </w:r>
      <w:r w:rsidRPr="00D97E3C">
        <w:rPr>
          <w:rFonts w:ascii="Times New Roman" w:eastAsia="Lucida Sans Unicode" w:hAnsi="Times New Roman" w:cs="Times New Roman"/>
          <w:bCs/>
          <w:sz w:val="28"/>
          <w:szCs w:val="28"/>
        </w:rPr>
        <w:t>показателю аналогичного периода 2022 года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. На долю обрабатывающих производств в объеме </w:t>
      </w:r>
      <w:r w:rsidRPr="00D97E3C">
        <w:rPr>
          <w:rFonts w:ascii="Times New Roman" w:hAnsi="Times New Roman" w:cs="Times New Roman"/>
          <w:sz w:val="28"/>
          <w:szCs w:val="28"/>
        </w:rPr>
        <w:t>отгруженной продукции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собственного производства промышленных предприятий приходится 53,56%. </w:t>
      </w:r>
      <w:r w:rsidRPr="00D97E3C">
        <w:rPr>
          <w:rFonts w:ascii="Times New Roman" w:hAnsi="Times New Roman" w:cs="Times New Roman"/>
          <w:sz w:val="28"/>
          <w:szCs w:val="28"/>
        </w:rPr>
        <w:t>Ожидается, что по итогам отчетного года данный показатель достигнет 10798,11 млн. рублей при темпе роста к показателю 2022 года 103</w:t>
      </w:r>
      <w:r w:rsidR="007949E8"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действующих ценах), а в 2024 году увеличится до 10960,08 млн. рублей (в базовом варианте). </w:t>
      </w:r>
    </w:p>
    <w:p w:rsidR="00ED6137" w:rsidRPr="00D97E3C" w:rsidRDefault="00ED6137" w:rsidP="00EB0E9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Lucida Sans Unicode" w:hAnsi="Times New Roman" w:cs="Times New Roman"/>
          <w:sz w:val="28"/>
          <w:szCs w:val="28"/>
        </w:rPr>
        <w:t>Объем продукции, отгруженной обрабатывающими предприятиями, за январь - апрель 2023 года составил 1325,50 млн. рублей или 53,56% к</w:t>
      </w:r>
      <w:r w:rsidRPr="00D97E3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показателю аналогичного периода 2022 года.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 Снижение обусловлено сокращением объемов производства и отгрузки основных видов продукции пищевой промышленности округа: крахмалов, масел растительных и комбикормов.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По </w:t>
      </w:r>
      <w:r w:rsidRPr="00D97E3C">
        <w:rPr>
          <w:rFonts w:ascii="Times New Roman" w:eastAsia="Calibri" w:hAnsi="Times New Roman" w:cs="Times New Roman"/>
          <w:sz w:val="28"/>
          <w:szCs w:val="28"/>
        </w:rPr>
        <w:t xml:space="preserve">итогам 2023 года данный показатель прогнозируется </w:t>
      </w:r>
      <w:r w:rsidR="00D35ACD">
        <w:rPr>
          <w:rFonts w:ascii="Times New Roman" w:eastAsia="Calibri" w:hAnsi="Times New Roman" w:cs="Times New Roman"/>
          <w:sz w:val="28"/>
          <w:szCs w:val="28"/>
        </w:rPr>
        <w:t>размере</w:t>
      </w:r>
      <w:r w:rsidRPr="00D97E3C">
        <w:rPr>
          <w:rFonts w:ascii="Times New Roman" w:eastAsia="Calibri" w:hAnsi="Times New Roman" w:cs="Times New Roman"/>
          <w:sz w:val="28"/>
          <w:szCs w:val="28"/>
        </w:rPr>
        <w:t xml:space="preserve"> 7326,44 млн. рублей или 102,5</w:t>
      </w:r>
      <w:r w:rsidR="00747C81">
        <w:rPr>
          <w:rFonts w:ascii="Times New Roman" w:eastAsia="Calibri" w:hAnsi="Times New Roman" w:cs="Times New Roman"/>
          <w:sz w:val="28"/>
          <w:szCs w:val="28"/>
        </w:rPr>
        <w:t>0</w:t>
      </w:r>
      <w:r w:rsidRPr="00D97E3C">
        <w:rPr>
          <w:rFonts w:ascii="Times New Roman" w:eastAsia="Calibri" w:hAnsi="Times New Roman" w:cs="Times New Roman"/>
          <w:sz w:val="28"/>
          <w:szCs w:val="28"/>
        </w:rPr>
        <w:t xml:space="preserve">% к показателю 2022 года (в действующих ценах), в базовом варианте в 2024 году темп роста сохранится </w:t>
      </w:r>
      <w:r w:rsidRPr="00D97E3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уровне 2023 года, а объем </w:t>
      </w:r>
      <w:r w:rsidRPr="00D97E3C">
        <w:rPr>
          <w:rFonts w:ascii="Times New Roman" w:hAnsi="Times New Roman" w:cs="Times New Roman"/>
          <w:sz w:val="28"/>
          <w:szCs w:val="28"/>
        </w:rPr>
        <w:t>отгруженной продукции достигнет 7509,6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По расчетам, в прогнозируемом периоде будет сохраняться положительная динамика развития промышленного производства. Ожидается, что в 2026 году темп роста по отношению к 2022 году составит 107,90% (в действующих ценах), а объем отгруженной продукции достигнет 11311,38 млн. рублей. </w:t>
      </w:r>
      <w:r w:rsidR="00747C81">
        <w:rPr>
          <w:rFonts w:ascii="Times New Roman" w:hAnsi="Times New Roman" w:cs="Times New Roman"/>
          <w:sz w:val="28"/>
          <w:szCs w:val="28"/>
        </w:rPr>
        <w:t>Н</w:t>
      </w:r>
      <w:r w:rsidRPr="00D97E3C">
        <w:rPr>
          <w:rFonts w:ascii="Times New Roman" w:hAnsi="Times New Roman" w:cs="Times New Roman"/>
          <w:sz w:val="28"/>
          <w:szCs w:val="28"/>
        </w:rPr>
        <w:t>а долю обрабатывающих производств будет приходиться 69,83% общего объема промышленной продукции.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Росту промышленного производства в прогноз</w:t>
      </w:r>
      <w:r w:rsidR="00CB3703">
        <w:rPr>
          <w:rFonts w:ascii="Times New Roman" w:hAnsi="Times New Roman" w:cs="Times New Roman"/>
          <w:sz w:val="28"/>
          <w:szCs w:val="28"/>
        </w:rPr>
        <w:t>ируемом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периоде будет способствовать реализация национального проекта «Повышение производительности труда и поддержка занятости в ОАО «Светлоградагромаш», в ООО «ДСК «ГРАС-Светлоград». Участие в региональном проекте «Системные меры развития международной кооперации и экспорта Ставропольского края» позволит обрабатывающим предприятиям округа выйти на новые рынки сбыта. Негативное влияние на рост производства может оказать сохранение санкционного режима со стороны недружественных стран, ограничивающее доступ к новым технологиям и оборудованию.</w:t>
      </w:r>
    </w:p>
    <w:p w:rsidR="00ED6137" w:rsidRPr="00D97E3C" w:rsidRDefault="00ED6137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E3C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ED6137" w:rsidRPr="00D97E3C" w:rsidRDefault="00ED6137" w:rsidP="00CB3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276572">
        <w:rPr>
          <w:rFonts w:ascii="Times New Roman" w:hAnsi="Times New Roman" w:cs="Times New Roman"/>
          <w:sz w:val="28"/>
          <w:szCs w:val="28"/>
        </w:rPr>
        <w:t>развития</w:t>
      </w:r>
      <w:r w:rsidRPr="00D97E3C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27657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97E3C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CB3703">
        <w:rPr>
          <w:rFonts w:ascii="Times New Roman" w:hAnsi="Times New Roman" w:cs="Times New Roman"/>
          <w:sz w:val="28"/>
          <w:szCs w:val="28"/>
        </w:rPr>
        <w:t>на основе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>Соглашени</w:t>
      </w:r>
      <w:r w:rsidR="00CB3703">
        <w:rPr>
          <w:rFonts w:ascii="Times New Roman" w:eastAsia="Lucida Sans Unicode" w:hAnsi="Times New Roman" w:cs="Times New Roman"/>
          <w:sz w:val="28"/>
          <w:szCs w:val="28"/>
        </w:rPr>
        <w:t>я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между администрацией Петровского городского округа Ставропольского края и министерством сельского хозяйства Ставропольского края по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 717, государственной программы Ставропольского края «Развитие сельского хозяйства», утвержденной постановлением Правительства Ставропольского края от 28 декабря 2018 г. № 620-п, с учетом реализации в округе инвестиционных проектов в области сельского хозяйства</w:t>
      </w:r>
      <w:r w:rsidR="00CB3703">
        <w:rPr>
          <w:rFonts w:ascii="Times New Roman" w:eastAsia="Lucida Sans Unicode" w:hAnsi="Times New Roman" w:cs="Times New Roman"/>
          <w:sz w:val="28"/>
          <w:szCs w:val="28"/>
        </w:rPr>
        <w:t xml:space="preserve">, официальной статистической информации </w:t>
      </w:r>
      <w:r w:rsidRPr="00D97E3C">
        <w:rPr>
          <w:rFonts w:ascii="Times New Roman" w:hAnsi="Times New Roman" w:cs="Times New Roman"/>
          <w:sz w:val="28"/>
          <w:szCs w:val="28"/>
        </w:rPr>
        <w:t>за 2022 год, оперативны</w:t>
      </w:r>
      <w:r w:rsidR="00CB3703">
        <w:rPr>
          <w:rFonts w:ascii="Times New Roman" w:hAnsi="Times New Roman" w:cs="Times New Roman"/>
          <w:sz w:val="28"/>
          <w:szCs w:val="28"/>
        </w:rPr>
        <w:t>х</w:t>
      </w:r>
      <w:r w:rsidRPr="00D97E3C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CB3703">
        <w:rPr>
          <w:rFonts w:ascii="Times New Roman" w:hAnsi="Times New Roman" w:cs="Times New Roman"/>
          <w:sz w:val="28"/>
          <w:szCs w:val="28"/>
        </w:rPr>
        <w:t>х</w:t>
      </w:r>
      <w:r w:rsidRPr="00D97E3C">
        <w:rPr>
          <w:rFonts w:ascii="Times New Roman" w:hAnsi="Times New Roman" w:cs="Times New Roman"/>
          <w:sz w:val="28"/>
          <w:szCs w:val="28"/>
        </w:rPr>
        <w:t xml:space="preserve"> 2023 года о структуре посевных площадей и поголовье сельскохозяйственных животных.</w:t>
      </w:r>
    </w:p>
    <w:p w:rsidR="00ED6137" w:rsidRPr="00D97E3C" w:rsidRDefault="00ED6137" w:rsidP="00D97E3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E3C">
        <w:rPr>
          <w:rFonts w:ascii="Times New Roman" w:eastAsia="Calibri" w:hAnsi="Times New Roman" w:cs="Times New Roman"/>
          <w:sz w:val="28"/>
          <w:szCs w:val="28"/>
        </w:rPr>
        <w:t xml:space="preserve">Объем </w:t>
      </w:r>
      <w:r w:rsidRPr="00D97E3C">
        <w:rPr>
          <w:rFonts w:ascii="Times New Roman" w:hAnsi="Times New Roman" w:cs="Times New Roman"/>
          <w:sz w:val="28"/>
          <w:szCs w:val="28"/>
        </w:rPr>
        <w:t>отгруженной продукции с</w:t>
      </w:r>
      <w:r w:rsidRPr="00D97E3C">
        <w:rPr>
          <w:rFonts w:ascii="Times New Roman" w:eastAsia="Lucida Sans Unicode" w:hAnsi="Times New Roman" w:cs="Times New Roman"/>
          <w:bCs/>
          <w:sz w:val="28"/>
          <w:szCs w:val="28"/>
        </w:rPr>
        <w:t>ельскохозяйственных предприятий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округа</w:t>
      </w:r>
      <w:r w:rsidRPr="00D97E3C">
        <w:rPr>
          <w:rFonts w:ascii="Times New Roman" w:eastAsia="Lucida Sans Unicode" w:hAnsi="Times New Roman" w:cs="Times New Roman"/>
          <w:color w:val="FF0000"/>
          <w:sz w:val="28"/>
          <w:szCs w:val="28"/>
        </w:rPr>
        <w:t xml:space="preserve">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за январь - апрель 2023 года составил 524,62 млн. рублей, что в 1,4 раза превышает значение показателя за аналогичный период прошлого года. В I квартале 2023 года в хозяйствах всех категорий произведено (выращено) мяса скота и птицы 6,2 тыс. тонн или 95,0</w:t>
      </w:r>
      <w:r w:rsidR="00747C81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% к показателю прошлого года. Производство молока составило 3,8 тыс. тонн</w:t>
      </w:r>
      <w:r w:rsidR="00276572">
        <w:rPr>
          <w:rFonts w:ascii="Times New Roman" w:eastAsia="Times New Roman" w:hAnsi="Times New Roman" w:cs="Times New Roman"/>
          <w:color w:val="000000"/>
          <w:sz w:val="28"/>
          <w:szCs w:val="28"/>
        </w:rPr>
        <w:t>, а у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дой на 1 корову дойного стада в сельскохозяйственных организациях </w:t>
      </w:r>
      <w:r w:rsidR="002765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1340 килограммов. </w:t>
      </w:r>
    </w:p>
    <w:p w:rsidR="00ED6137" w:rsidRPr="00D97E3C" w:rsidRDefault="00ED6137" w:rsidP="00D97E3C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Производство зерновых и зернобобовых культур в отчетном году ожидается на уровне 432</w:t>
      </w:r>
      <w:r w:rsidR="00747C81"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тонн. Производство картофеля и овощных культур оценивается в 12</w:t>
      </w:r>
      <w:r w:rsidR="00747C81"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 и 10,6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 соответственно в связи с увеличением посевных площадей данных культур, в том числе на орошаемых землях. Ожидается уменьшение производства основных видов </w:t>
      </w:r>
      <w:r w:rsidRPr="00D97E3C"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животноводства – мяса и молока в связи со снижением </w:t>
      </w:r>
      <w:r w:rsidR="00CB3703" w:rsidRPr="00D97E3C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D97E3C">
        <w:rPr>
          <w:rFonts w:ascii="Times New Roman" w:hAnsi="Times New Roman" w:cs="Times New Roman"/>
          <w:sz w:val="28"/>
          <w:szCs w:val="28"/>
        </w:rPr>
        <w:t>численности поголовья КРС в ООО «Хлебороб» из-за вспышки инфекционного заболевания и проведения необходимых карантинных мероприятий. В результате объем продукции сельского хозяйства по итогам 2023 года составит 13349,6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84,05% к значению 2022 года (в сопоставимых ценах), более 70,0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произведенной продукции будет приходится на растениеводство. </w:t>
      </w:r>
    </w:p>
    <w:p w:rsidR="00ED6137" w:rsidRPr="00D97E3C" w:rsidRDefault="00ED6137" w:rsidP="00D97E3C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276572" w:rsidRPr="00D97E3C">
        <w:rPr>
          <w:rFonts w:ascii="Times New Roman" w:hAnsi="Times New Roman" w:cs="Times New Roman"/>
          <w:sz w:val="28"/>
          <w:szCs w:val="28"/>
        </w:rPr>
        <w:t>в базов</w:t>
      </w:r>
      <w:r w:rsidR="00276572">
        <w:rPr>
          <w:rFonts w:ascii="Times New Roman" w:hAnsi="Times New Roman" w:cs="Times New Roman"/>
          <w:sz w:val="28"/>
          <w:szCs w:val="28"/>
        </w:rPr>
        <w:t>ый</w:t>
      </w:r>
      <w:r w:rsidR="00276572" w:rsidRPr="00D97E3C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276572">
        <w:rPr>
          <w:rFonts w:ascii="Times New Roman" w:hAnsi="Times New Roman" w:cs="Times New Roman"/>
          <w:sz w:val="28"/>
          <w:szCs w:val="28"/>
        </w:rPr>
        <w:t xml:space="preserve"> прогноза предусматривает, что</w:t>
      </w:r>
      <w:r w:rsidR="00276572"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в общем объеме произведенной продукции сохранится преобладание растениеводческой продукции, а ее объем достигнет 9474,1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рублей. Основными рисками, которые могут оказать существенное влияние на показатель являются аномальные погодные условия: почвенная засуха, ливневые дожди и градобой в весенне-летний период. Кроме того, прогнозируется увеличение производства продукции животноводства до 4120,01 млн. рублей при темпе роста к 2023 году 96,48% (в сопоставимых ценах). На развитие данной отрасли могут оказать влияние не только сокращение численности поголовья, но и сезонные колебания закупочных цен на произведенную продукцию. 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При сохранении темпов поступления инвестиций и увеличении объемов государственной поддержки 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производство продукции сельского хозяйства </w:t>
      </w:r>
      <w:r w:rsidR="00CB3703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CB3703"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2026 году 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>в хозяйствах всех категорий ожидается в сумме 14986,7</w:t>
      </w:r>
      <w:r w:rsidR="00747C81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D97E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млн. рублей (в базовом варианте) при темпе роста 112,26% (в действующих ценах) к 2023 году. 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b/>
          <w:sz w:val="28"/>
          <w:szCs w:val="28"/>
        </w:rPr>
        <w:t>Строительство</w:t>
      </w:r>
    </w:p>
    <w:p w:rsidR="00ED6137" w:rsidRPr="00D97E3C" w:rsidRDefault="00ED6137" w:rsidP="00D97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виду </w:t>
      </w:r>
      <w:r w:rsidR="002765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чистым видам </w:t>
      </w:r>
      <w:r w:rsidRP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экономической деятельности «строительство» </w:t>
      </w:r>
      <w:r w:rsidRPr="0069667F">
        <w:rPr>
          <w:rFonts w:ascii="Times New Roman" w:hAnsi="Times New Roman" w:cs="Times New Roman"/>
          <w:color w:val="000000"/>
          <w:sz w:val="28"/>
          <w:szCs w:val="28"/>
        </w:rPr>
        <w:t>за первые четыре месяца</w:t>
      </w:r>
      <w:r w:rsidRP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765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2023 года </w:t>
      </w:r>
      <w:r w:rsidRP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выполнено работ на сумму 719,19 млн. рублей (в аналогичном периоде 2022 года —538,27 млн. рублей)</w:t>
      </w:r>
      <w:r w:rsidR="0069667F" w:rsidRP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основной объем работ пришелся на январь – 566,11 млн. рублей, что связано с завершением строительства </w:t>
      </w:r>
      <w:r w:rsidR="0069667F" w:rsidRPr="0069667F">
        <w:rPr>
          <w:rFonts w:ascii="Times New Roman" w:hAnsi="Times New Roman" w:cs="Times New Roman"/>
          <w:sz w:val="28"/>
          <w:szCs w:val="28"/>
        </w:rPr>
        <w:t>Берестовской ВЭС мощностью 60 МВ.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D6137" w:rsidRPr="00D97E3C" w:rsidRDefault="00ED6137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нового строительства, расширения и реконструкции в первом квартале текущего года введены</w:t>
      </w:r>
      <w:r w:rsidR="006966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эксплуатацию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один магазин торговой площадью 0,2 тыс. кв. м., два сельскохозяйственных склада общей площадью 1,4 тыс. кв. м., 4,5 км. линий электропередач напряжением 35-110 </w:t>
      </w:r>
      <w:proofErr w:type="spellStart"/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кВ.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Гражданами введены в эксплуатацию 18 жилых домов общей площадью 2138 кв. м. </w:t>
      </w:r>
    </w:p>
    <w:p w:rsidR="0069667F" w:rsidRDefault="00ED6137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67F">
        <w:rPr>
          <w:rFonts w:ascii="Times New Roman" w:eastAsia="Times New Roman" w:hAnsi="Times New Roman" w:cs="Times New Roman"/>
          <w:sz w:val="28"/>
          <w:szCs w:val="28"/>
        </w:rPr>
        <w:t xml:space="preserve">По итогам 2023 года объем работ, выполненных по виду деятельности «строительство» оценивается в </w:t>
      </w:r>
      <w:r w:rsidR="0069667F" w:rsidRPr="0069667F">
        <w:rPr>
          <w:rFonts w:ascii="Times New Roman" w:eastAsia="Times New Roman" w:hAnsi="Times New Roman" w:cs="Times New Roman"/>
          <w:sz w:val="28"/>
          <w:szCs w:val="28"/>
        </w:rPr>
        <w:t>1178,71</w:t>
      </w:r>
      <w:r w:rsidRPr="0069667F">
        <w:rPr>
          <w:rFonts w:ascii="Times New Roman" w:eastAsia="Times New Roman" w:hAnsi="Times New Roman" w:cs="Times New Roman"/>
          <w:sz w:val="28"/>
          <w:szCs w:val="28"/>
        </w:rPr>
        <w:t xml:space="preserve"> млн. рублей или </w:t>
      </w:r>
      <w:r w:rsidR="0069667F" w:rsidRPr="0069667F">
        <w:rPr>
          <w:rFonts w:ascii="Times New Roman" w:eastAsia="Times New Roman" w:hAnsi="Times New Roman" w:cs="Times New Roman"/>
          <w:sz w:val="28"/>
          <w:szCs w:val="28"/>
        </w:rPr>
        <w:t>84,60</w:t>
      </w:r>
      <w:r w:rsidRPr="0069667F">
        <w:rPr>
          <w:rFonts w:ascii="Times New Roman" w:eastAsia="Times New Roman" w:hAnsi="Times New Roman" w:cs="Times New Roman"/>
          <w:sz w:val="28"/>
          <w:szCs w:val="28"/>
        </w:rPr>
        <w:t>% к 2022 году в (сопоставимых ценах</w:t>
      </w:r>
      <w:r w:rsidR="0069667F" w:rsidRPr="0069667F">
        <w:rPr>
          <w:rFonts w:ascii="Times New Roman" w:eastAsia="Times New Roman" w:hAnsi="Times New Roman" w:cs="Times New Roman"/>
          <w:sz w:val="28"/>
          <w:szCs w:val="28"/>
        </w:rPr>
        <w:t>), снижение обусловлено</w:t>
      </w:r>
      <w:r w:rsidR="0069667F" w:rsidRPr="0069667F">
        <w:rPr>
          <w:rFonts w:ascii="Times New Roman" w:hAnsi="Times New Roman" w:cs="Times New Roman"/>
          <w:sz w:val="28"/>
          <w:szCs w:val="28"/>
        </w:rPr>
        <w:t xml:space="preserve"> завершением в минувшем году строительных работ на крупных инвестиционных проектах. По этой же причине существенного роста показателя не прогнозируется</w:t>
      </w:r>
      <w:r w:rsidR="0069667F">
        <w:rPr>
          <w:rFonts w:ascii="Times New Roman" w:hAnsi="Times New Roman" w:cs="Times New Roman"/>
          <w:sz w:val="28"/>
          <w:szCs w:val="28"/>
        </w:rPr>
        <w:t>, в 2024 году он составит 650,8 млн. рублей при темпе роста 52,73% (в сопоставимых ценах) к 2023 году, а в 2026 году увеличится до 687,8 млн. рублей.</w:t>
      </w:r>
    </w:p>
    <w:p w:rsidR="00ED6137" w:rsidRPr="00D97E3C" w:rsidRDefault="00ED6137" w:rsidP="00D97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lastRenderedPageBreak/>
        <w:t>Ожидается, что по итогам текущего года объем ИЖС составит 8,3 тыс. кв.м., а к концу 2026 год</w:t>
      </w:r>
      <w:r w:rsidR="00747C81">
        <w:rPr>
          <w:rFonts w:ascii="Times New Roman" w:hAnsi="Times New Roman" w:cs="Times New Roman"/>
          <w:sz w:val="28"/>
          <w:szCs w:val="28"/>
        </w:rPr>
        <w:t>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в базовом варианте значение показателя увеличится до 8,6 тыс. кв.м.</w:t>
      </w:r>
    </w:p>
    <w:p w:rsidR="00ED6137" w:rsidRPr="00D97E3C" w:rsidRDefault="00ED6137" w:rsidP="00D97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b/>
          <w:bCs/>
          <w:sz w:val="28"/>
          <w:szCs w:val="28"/>
        </w:rPr>
        <w:t>Торговля и услуги населению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По оценке, объем розничного товарооборота предприятий, не относящихся к субъектам малого и среднего предпринимательства, в 2023 году увеличится</w:t>
      </w:r>
      <w:r w:rsidR="00276572">
        <w:rPr>
          <w:rFonts w:ascii="Times New Roman" w:hAnsi="Times New Roman" w:cs="Times New Roman"/>
          <w:sz w:val="28"/>
          <w:szCs w:val="28"/>
        </w:rPr>
        <w:t xml:space="preserve"> в сравнении с 2022 годом</w:t>
      </w:r>
      <w:r w:rsidRPr="00D97E3C">
        <w:rPr>
          <w:rFonts w:ascii="Times New Roman" w:hAnsi="Times New Roman" w:cs="Times New Roman"/>
          <w:sz w:val="28"/>
          <w:szCs w:val="28"/>
        </w:rPr>
        <w:t xml:space="preserve"> на 3,43% (в действующих ценах) и составит 2570,19 млн. рублей. В прогнозируемом периоде сохранится положительная динамика, </w:t>
      </w:r>
      <w:r w:rsidR="00747C81">
        <w:rPr>
          <w:rFonts w:ascii="Times New Roman" w:hAnsi="Times New Roman" w:cs="Times New Roman"/>
          <w:sz w:val="28"/>
          <w:szCs w:val="28"/>
        </w:rPr>
        <w:t xml:space="preserve">в </w:t>
      </w:r>
      <w:r w:rsidR="00747C81" w:rsidRPr="00D97E3C">
        <w:rPr>
          <w:rFonts w:ascii="Times New Roman" w:hAnsi="Times New Roman" w:cs="Times New Roman"/>
          <w:sz w:val="28"/>
          <w:szCs w:val="28"/>
        </w:rPr>
        <w:t xml:space="preserve">2024 году </w:t>
      </w:r>
      <w:r w:rsidRPr="00D97E3C">
        <w:rPr>
          <w:rFonts w:ascii="Times New Roman" w:hAnsi="Times New Roman" w:cs="Times New Roman"/>
          <w:sz w:val="28"/>
          <w:szCs w:val="28"/>
        </w:rPr>
        <w:t xml:space="preserve">в </w:t>
      </w:r>
      <w:r w:rsidR="00747C81">
        <w:rPr>
          <w:rFonts w:ascii="Times New Roman" w:hAnsi="Times New Roman" w:cs="Times New Roman"/>
          <w:sz w:val="28"/>
          <w:szCs w:val="28"/>
        </w:rPr>
        <w:t xml:space="preserve">базовом варианте </w:t>
      </w:r>
      <w:r w:rsidRPr="00D97E3C">
        <w:rPr>
          <w:rFonts w:ascii="Times New Roman" w:hAnsi="Times New Roman" w:cs="Times New Roman"/>
          <w:sz w:val="28"/>
          <w:szCs w:val="28"/>
        </w:rPr>
        <w:t>объем розничного товарооборота увеличится до 2660,15 млн. рублей или на 3,5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 к 2023 году (в действующих ценах), а к 2026 году достигнет 2852,69 млн. рублей или 114,80% (в действующих ценах) к аналогичному показателю 2022 года.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Ожидается, что объем платных услуг, оказанных населению предприятиями, не относящимися к субъектам малого и среднего предпринимательства, по итогам отчетного года составит 3707,55 млн. рублей или 94,18% (в сопоставимых ценах) к значению 2022 года.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>Стабилизация экономической ситуации, расширение</w:t>
      </w:r>
      <w:r w:rsidR="00705D4B">
        <w:rPr>
          <w:rFonts w:ascii="Times New Roman" w:eastAsia="Lucida Sans Unicode" w:hAnsi="Times New Roman" w:cs="Times New Roman"/>
          <w:sz w:val="28"/>
          <w:szCs w:val="28"/>
        </w:rPr>
        <w:t xml:space="preserve"> перечня оказываемых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услуг, плановый рост тарифов на услуги ЖКХ будут способствовать росту </w:t>
      </w:r>
      <w:r w:rsidR="00705D4B">
        <w:rPr>
          <w:rFonts w:ascii="Times New Roman" w:eastAsia="Lucida Sans Unicode" w:hAnsi="Times New Roman" w:cs="Times New Roman"/>
          <w:sz w:val="28"/>
          <w:szCs w:val="28"/>
        </w:rPr>
        <w:t xml:space="preserve">объема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>платных услуг населению</w:t>
      </w:r>
      <w:r w:rsidRPr="00D97E3C">
        <w:rPr>
          <w:rFonts w:ascii="Times New Roman" w:hAnsi="Times New Roman" w:cs="Times New Roman"/>
          <w:sz w:val="28"/>
          <w:szCs w:val="28"/>
        </w:rPr>
        <w:t>, к 2026 году этот показатель увеличится до 3996,52 млн. рублей.</w:t>
      </w: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b/>
          <w:sz w:val="28"/>
          <w:szCs w:val="28"/>
        </w:rPr>
        <w:t xml:space="preserve">Малое и среднее предпринимательство. </w:t>
      </w:r>
    </w:p>
    <w:p w:rsidR="00ED6137" w:rsidRPr="00D97E3C" w:rsidRDefault="00ED6137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По официальным статистическим данным по состоянию на 01 апреля 2023 года на территории округа осуществляли деятельность 2096 хозяйствующих субъектов, в том числе 1869 </w:t>
      </w:r>
      <w:r w:rsidRPr="00D97E3C">
        <w:rPr>
          <w:rFonts w:ascii="Times New Roman" w:eastAsia="Lucida Sans Unicode" w:hAnsi="Times New Roman" w:cs="Times New Roman"/>
          <w:bCs/>
          <w:color w:val="000000"/>
          <w:sz w:val="28"/>
          <w:szCs w:val="28"/>
        </w:rPr>
        <w:t>субъектов малого и среднего бизнеса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>, из них 1683 индивидуальных предпринимателя (80,3% от общего числа хозяйствующих субъектов) и 186 юридических лиц. Кроме того, по данным Межрайонной ИФНС России № 3 по Ставропольскому краю 2187 налогоплательщиков, состоящих на учете по месту жительства в Петровском городском округе Ставропольского края,</w:t>
      </w:r>
      <w:r w:rsidR="00705D4B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в первом квартале текущего года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применя</w:t>
      </w:r>
      <w:r w:rsidR="00705D4B">
        <w:rPr>
          <w:rFonts w:ascii="Times New Roman" w:eastAsia="Lucida Sans Unicode" w:hAnsi="Times New Roman" w:cs="Times New Roman"/>
          <w:color w:val="000000"/>
          <w:sz w:val="28"/>
          <w:szCs w:val="28"/>
        </w:rPr>
        <w:t>ли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специальный налоговый режим «Налог на профессиональный доход».</w:t>
      </w:r>
      <w:bookmarkStart w:id="1" w:name="_Hlk528677365"/>
      <w:bookmarkEnd w:id="1"/>
    </w:p>
    <w:p w:rsidR="00ED6137" w:rsidRPr="00D97E3C" w:rsidRDefault="00ED6137" w:rsidP="00705D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>По прогнозу, в среднесрочной перспективе сохранится стабильная ситуация в сфере развития малого и среднего предпринимательства</w:t>
      </w:r>
      <w:r w:rsidR="00CB3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МСП)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2026 году их число предприятий </w:t>
      </w:r>
      <w:r w:rsidR="00CB3703">
        <w:rPr>
          <w:rFonts w:ascii="Times New Roman" w:hAnsi="Times New Roman" w:cs="Times New Roman"/>
          <w:color w:val="000000"/>
          <w:sz w:val="28"/>
          <w:szCs w:val="28"/>
        </w:rPr>
        <w:t xml:space="preserve">МСП 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>(включая микропредприятия)</w:t>
      </w:r>
      <w:r w:rsidR="00CB3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сохранится на уровне 2022 года, </w:t>
      </w:r>
      <w:r w:rsidR="00CB3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занятых на этих предприятиях к увеличится </w:t>
      </w:r>
      <w:r w:rsidRPr="00D97E3C">
        <w:rPr>
          <w:rFonts w:ascii="Times New Roman" w:hAnsi="Times New Roman" w:cs="Times New Roman"/>
          <w:sz w:val="28"/>
          <w:szCs w:val="28"/>
        </w:rPr>
        <w:t>до 2,8 тыс. человек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05D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705D4B">
        <w:rPr>
          <w:rFonts w:ascii="Times New Roman" w:hAnsi="Times New Roman" w:cs="Times New Roman"/>
          <w:color w:val="000000" w:themeColor="text1"/>
          <w:sz w:val="28"/>
          <w:szCs w:val="28"/>
        </w:rPr>
        <w:t>всего</w:t>
      </w:r>
      <w:r w:rsidRPr="00D9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периода оборот МСП (включая микропредприятия) сохранится на уровне 2022 года – немногим более 13 млрд. рублей. </w:t>
      </w: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E3C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ED6137" w:rsidRPr="00D97E3C" w:rsidRDefault="00ED6137" w:rsidP="00D97E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bCs/>
          <w:color w:val="000000"/>
          <w:sz w:val="28"/>
          <w:szCs w:val="28"/>
        </w:rPr>
        <w:t>Объем инвестиций в основной капитал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по полному кругу хозяйствующих субъектов (за исключением бюджетных средств) за </w:t>
      </w:r>
      <w:r w:rsidRPr="00D97E3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квартал 2023 года составил 902,96 млн. рублей, в том числе средства субъектов МСП 762,56 млн. рублей или 84,45%.</w:t>
      </w:r>
    </w:p>
    <w:p w:rsidR="00ED6137" w:rsidRPr="00D97E3C" w:rsidRDefault="00ED6137" w:rsidP="00D97E3C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состоянию на 01 апреля 2022 года в округе продолжается реализация 14 инвестиционных проектов, объём инвестиций, направленный на реализацию инвестиционных проектов, сложился в сумме 646,38 тыс. рублей.</w:t>
      </w:r>
    </w:p>
    <w:p w:rsidR="00ED6137" w:rsidRPr="00D97E3C" w:rsidRDefault="00ED6137" w:rsidP="00D97E3C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По итогам 2023 года объем инвестиций крупных и средних предприятий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оценивается в сумме 1548,4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20,89% (в сопоставимых ценах) к аналогичному показателю 2022 года, что обусловлено вводом </w:t>
      </w:r>
      <w:r w:rsidR="006C4413">
        <w:rPr>
          <w:rFonts w:ascii="Times New Roman" w:hAnsi="Times New Roman" w:cs="Times New Roman"/>
          <w:sz w:val="28"/>
          <w:szCs w:val="28"/>
        </w:rPr>
        <w:t xml:space="preserve">в </w:t>
      </w:r>
      <w:r w:rsidRPr="00D97E3C">
        <w:rPr>
          <w:rFonts w:ascii="Times New Roman" w:hAnsi="Times New Roman" w:cs="Times New Roman"/>
          <w:sz w:val="28"/>
          <w:szCs w:val="28"/>
        </w:rPr>
        <w:t xml:space="preserve">эксплуатацию </w:t>
      </w:r>
      <w:r w:rsidR="006C4413" w:rsidRPr="00D97E3C">
        <w:rPr>
          <w:rFonts w:ascii="Times New Roman" w:hAnsi="Times New Roman" w:cs="Times New Roman"/>
          <w:sz w:val="28"/>
          <w:szCs w:val="28"/>
        </w:rPr>
        <w:t>в</w:t>
      </w:r>
      <w:r w:rsidR="006C4413">
        <w:rPr>
          <w:rFonts w:ascii="Times New Roman" w:hAnsi="Times New Roman" w:cs="Times New Roman"/>
          <w:sz w:val="28"/>
          <w:szCs w:val="28"/>
        </w:rPr>
        <w:t xml:space="preserve"> минувшем году </w:t>
      </w:r>
      <w:r w:rsidRPr="00D97E3C">
        <w:rPr>
          <w:rFonts w:ascii="Times New Roman" w:hAnsi="Times New Roman" w:cs="Times New Roman"/>
          <w:sz w:val="28"/>
          <w:szCs w:val="28"/>
        </w:rPr>
        <w:t>Берестовской ВЭС мощностью 60 МВт и системы орошения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 ООО «Иррико-Холдинг». С учетом объемов средств субъектов МСП объем инвестиций в основной капитал по полному кругу хозяйствующих субъектов составит 3987,14 млн. рублей. </w:t>
      </w:r>
    </w:p>
    <w:p w:rsidR="00ED6137" w:rsidRPr="00D97E3C" w:rsidRDefault="00ED6137" w:rsidP="00D97E3C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В базовом варианте прогноза в 2024 году инвестиции в экономику округа увеличатся в сравнении с 2023 годом на 148,23% (в сопоставимых ценах) и достигнут 4280,01 млн. рублей. На долю предприятий, не относящихся к субъектам МСП, будет приходится 67,1</w:t>
      </w:r>
      <w:r w:rsidR="00747C81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всего объема инвестиций. В 2026 году объем инвестиций данной категории 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>достигнет 3063,53 млн. рублей или 41,33% к показателю 2022 года (в действующих ценах). В 2024 - 2026 годах предприятиями округа (ООО «НД-Техник», ОАО «Светлоградагромаш», ООО «ДСК «ГРАС-Светлоград», ООО «Светлоградский маслоэкстракционный завод», филиал ГУП СК «</w:t>
      </w:r>
      <w:proofErr w:type="spellStart"/>
      <w:r w:rsidRPr="00D97E3C">
        <w:rPr>
          <w:rFonts w:ascii="Times New Roman" w:eastAsia="Times New Roman" w:hAnsi="Times New Roman" w:cs="Times New Roman"/>
          <w:sz w:val="28"/>
          <w:szCs w:val="28"/>
        </w:rPr>
        <w:t>Ставропольэлектросеть</w:t>
      </w:r>
      <w:proofErr w:type="spellEnd"/>
      <w:r w:rsidRPr="00D97E3C">
        <w:rPr>
          <w:rFonts w:ascii="Times New Roman" w:eastAsia="Times New Roman" w:hAnsi="Times New Roman" w:cs="Times New Roman"/>
          <w:sz w:val="28"/>
          <w:szCs w:val="28"/>
        </w:rPr>
        <w:t>» г. Светлоград, АО РТП «Петровское», АО «</w:t>
      </w:r>
      <w:proofErr w:type="spellStart"/>
      <w:r w:rsidRPr="00D97E3C">
        <w:rPr>
          <w:rFonts w:ascii="Times New Roman" w:eastAsia="Times New Roman" w:hAnsi="Times New Roman" w:cs="Times New Roman"/>
          <w:sz w:val="28"/>
          <w:szCs w:val="28"/>
        </w:rPr>
        <w:t>Светлоградрайгаз</w:t>
      </w:r>
      <w:proofErr w:type="spellEnd"/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») планируется </w:t>
      </w:r>
      <w:r w:rsidR="00705D4B">
        <w:rPr>
          <w:rFonts w:ascii="Times New Roman" w:eastAsia="Times New Roman" w:hAnsi="Times New Roman" w:cs="Times New Roman"/>
          <w:sz w:val="28"/>
          <w:szCs w:val="28"/>
        </w:rPr>
        <w:t>направить на</w:t>
      </w: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 модернизацию производства 886,61 млн. рублей.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sz w:val="28"/>
          <w:szCs w:val="28"/>
        </w:rPr>
        <w:t xml:space="preserve">Основными факторами, сдерживающими инвестиционное развитие округа, остаются дефицит энергоресурсов (отсутствие свободных мощностей водоснабжения) и необходимой инженерной инфраструктуры. </w:t>
      </w:r>
    </w:p>
    <w:p w:rsidR="00ED6137" w:rsidRPr="00D97E3C" w:rsidRDefault="00ED6137" w:rsidP="00D97E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87652" w:rsidRPr="00D97E3C" w:rsidRDefault="00ED6137" w:rsidP="00D97E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7E3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Бюджет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В бюджет Петровского городского округа Ставропольского края (далее – бюджет округа) за январь</w:t>
      </w:r>
      <w:r w:rsidR="006C4413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-</w:t>
      </w:r>
      <w:r w:rsidR="006C4413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апрель 2023 года поступило 771,48 млн. рублей доходов. Доходная часть бюджета округа исполнена на 29,22% к годовым бюджетным назначениям (запланировано 2640,60 млн. рублей). В общей сумме поступлений 21,48% или 166,36 млн. рублей составили налоговые и неналоговые доходы. Безвозмездные поступления занимают 78,52% всех доходов бюджета округа. 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Основным источником налоговых и неналоговых поступлений является налог на доходы физических лиц (далее </w:t>
      </w:r>
      <w:r w:rsidR="006C4413">
        <w:rPr>
          <w:rFonts w:ascii="Times New Roman" w:hAnsi="Times New Roman" w:cs="Times New Roman"/>
          <w:sz w:val="28"/>
          <w:szCs w:val="28"/>
        </w:rPr>
        <w:t>-</w:t>
      </w:r>
      <w:r w:rsidRPr="00D97E3C">
        <w:rPr>
          <w:rFonts w:ascii="Times New Roman" w:hAnsi="Times New Roman" w:cs="Times New Roman"/>
          <w:sz w:val="28"/>
          <w:szCs w:val="28"/>
        </w:rPr>
        <w:t xml:space="preserve"> НДФЛ). Единый норматив отчислений в бюджеты городских округов Ставропольского края от налога на доходы физических лиц составляет 27,0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%. Решением Совета депутатов Петровского городского округа Ставропольского края № 103 от 10 декабря 2020 года 20</w:t>
      </w:r>
      <w:r w:rsidR="00EF2424"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дотации на выравнивание уровня бюджетной обеспеченности из краевого Фонда финансовой поддержки муниципальных </w:t>
      </w:r>
      <w:r w:rsidRPr="00D97E3C">
        <w:rPr>
          <w:rFonts w:ascii="Times New Roman" w:hAnsi="Times New Roman" w:cs="Times New Roman"/>
          <w:sz w:val="28"/>
          <w:szCs w:val="28"/>
        </w:rPr>
        <w:lastRenderedPageBreak/>
        <w:t>районов (городских округов) на 2023 год в сумме 120784,0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рублей заменены дополнительным нормативом отчислений от налога на доходы физических лиц в размере 15,85%. Таким образом, в бюджет округа НДФЛ в 2023 году поступает по нормативу 42,85%. </w:t>
      </w:r>
    </w:p>
    <w:p w:rsidR="00ED6137" w:rsidRPr="00D97E3C" w:rsidRDefault="00ED6137" w:rsidP="006C4413">
      <w:pPr>
        <w:spacing w:after="0" w:line="240" w:lineRule="auto"/>
        <w:ind w:firstLine="603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Объем планируемых расходов бюджета округа на 2023 год в течение января - апреля 2023 года увеличился по сравнению с первоначально принятым бюджетом </w:t>
      </w:r>
      <w:r w:rsidRPr="00D97E3C">
        <w:rPr>
          <w:rFonts w:ascii="Times New Roman" w:hAnsi="Times New Roman" w:cs="Times New Roman"/>
          <w:sz w:val="28"/>
          <w:szCs w:val="28"/>
        </w:rPr>
        <w:t>на 409,82 млн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. рублей и достиг 2814,33 млн. рублей.</w:t>
      </w:r>
      <w:r w:rsidRPr="00D97E3C">
        <w:rPr>
          <w:rFonts w:ascii="Times New Roman" w:hAnsi="Times New Roman" w:cs="Times New Roman"/>
          <w:iCs/>
          <w:sz w:val="28"/>
          <w:szCs w:val="28"/>
        </w:rPr>
        <w:t xml:space="preserve"> Расходная часть бюджета округа сформирована на основе 14 муниципальных программ, охватывающих все сферы деятельности органов местного самоуправления.</w:t>
      </w:r>
      <w:r w:rsidR="006C4413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Кассовое исполнение бюджета округа за </w:t>
      </w:r>
      <w:r w:rsidR="006C44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период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сложилось в сумме 788,17 млн. рублей или 28,0</w:t>
      </w:r>
      <w:r w:rsidR="00EF2424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% к уточненному годовому плану. Непрограммная часть занимает 2,53% от общего объема расходов бюджета округа.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6137" w:rsidRPr="00D97E3C" w:rsidRDefault="00ED6137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iCs/>
          <w:sz w:val="28"/>
          <w:szCs w:val="28"/>
        </w:rPr>
        <w:t>По предварительным расчетам в 2024 году доходная часть</w:t>
      </w:r>
      <w:r w:rsidR="004E3A2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iCs/>
          <w:sz w:val="28"/>
          <w:szCs w:val="28"/>
        </w:rPr>
        <w:t>составит 2099,97 млн. рублей</w:t>
      </w:r>
      <w:r w:rsidR="004E3A2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97E3C">
        <w:rPr>
          <w:rFonts w:ascii="Times New Roman" w:hAnsi="Times New Roman" w:cs="Times New Roman"/>
          <w:iCs/>
          <w:sz w:val="28"/>
          <w:szCs w:val="28"/>
        </w:rPr>
        <w:t>на долю налоговых и неналоговых доходов будет приходится 25,1</w:t>
      </w:r>
      <w:r w:rsidR="004E3A29">
        <w:rPr>
          <w:rFonts w:ascii="Times New Roman" w:hAnsi="Times New Roman" w:cs="Times New Roman"/>
          <w:iCs/>
          <w:sz w:val="28"/>
          <w:szCs w:val="28"/>
        </w:rPr>
        <w:t>0</w:t>
      </w:r>
      <w:r w:rsidRPr="00D97E3C">
        <w:rPr>
          <w:rFonts w:ascii="Times New Roman" w:hAnsi="Times New Roman" w:cs="Times New Roman"/>
          <w:iCs/>
          <w:sz w:val="28"/>
          <w:szCs w:val="28"/>
        </w:rPr>
        <w:t>% всех поступлений в доходную часть бюджета округа</w:t>
      </w:r>
      <w:r w:rsidR="004E3A29">
        <w:rPr>
          <w:rFonts w:ascii="Times New Roman" w:hAnsi="Times New Roman" w:cs="Times New Roman"/>
          <w:iCs/>
          <w:sz w:val="28"/>
          <w:szCs w:val="28"/>
        </w:rPr>
        <w:t>),</w:t>
      </w:r>
      <w:r w:rsidRPr="00D97E3C">
        <w:rPr>
          <w:rFonts w:ascii="Times New Roman" w:hAnsi="Times New Roman" w:cs="Times New Roman"/>
          <w:iCs/>
          <w:sz w:val="28"/>
          <w:szCs w:val="28"/>
        </w:rPr>
        <w:t xml:space="preserve"> расходная – 2117,58 млн. рублей, а дефицит сократится до 17,61 млн. рублей (по расчетам в 2023 году дефицит бюджета округа - 170,67 млн. рублей).</w:t>
      </w:r>
    </w:p>
    <w:p w:rsidR="00ED6137" w:rsidRPr="00D97E3C" w:rsidRDefault="00ED6137" w:rsidP="00D97E3C">
      <w:pPr>
        <w:pStyle w:val="2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D6137" w:rsidRPr="00D97E3C" w:rsidRDefault="00ED6137" w:rsidP="00D97E3C">
      <w:pPr>
        <w:pStyle w:val="2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97E3C">
        <w:rPr>
          <w:rFonts w:ascii="Times New Roman" w:hAnsi="Times New Roman"/>
          <w:b/>
          <w:sz w:val="28"/>
          <w:szCs w:val="28"/>
        </w:rPr>
        <w:t>Труд и занятость</w:t>
      </w:r>
    </w:p>
    <w:p w:rsidR="00ED6137" w:rsidRPr="00D97E3C" w:rsidRDefault="00ED6137" w:rsidP="00D97E3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Lucida Sans Unicode" w:hAnsi="Times New Roman" w:cs="Times New Roman"/>
          <w:bCs/>
          <w:color w:val="000000"/>
          <w:sz w:val="28"/>
          <w:szCs w:val="28"/>
        </w:rPr>
        <w:t>Среднесписочная численность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работников организаций, не относящихся к субъектам малого предпринимательства, за январь - март 2023 года составила 10,08 тыс. человек или 97,2</w:t>
      </w:r>
      <w:r w:rsidR="004E3A29">
        <w:rPr>
          <w:rFonts w:ascii="Times New Roman" w:eastAsia="Lucida Sans Unicode" w:hAnsi="Times New Roman" w:cs="Times New Roman"/>
          <w:color w:val="000000"/>
          <w:sz w:val="28"/>
          <w:szCs w:val="28"/>
        </w:rPr>
        <w:t>0</w:t>
      </w:r>
      <w:r w:rsidRPr="00D97E3C">
        <w:rPr>
          <w:rFonts w:ascii="Times New Roman" w:eastAsia="Lucida Sans Unicode" w:hAnsi="Times New Roman" w:cs="Times New Roman"/>
          <w:color w:val="000000"/>
          <w:sz w:val="28"/>
          <w:szCs w:val="28"/>
        </w:rPr>
        <w:t>% к значению показателя за аналогичный период 2022 года. Ожидается, что в течение 2023 года общее число работников организаций, не относящихся к субъектам малого предпринимательства, не изменится.</w:t>
      </w:r>
    </w:p>
    <w:p w:rsidR="00ED6137" w:rsidRPr="00D97E3C" w:rsidRDefault="00ED6137" w:rsidP="00D97E3C">
      <w:pPr>
        <w:widowControl w:val="0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Calibri" w:hAnsi="Times New Roman" w:cs="Times New Roman"/>
          <w:color w:val="000000"/>
          <w:sz w:val="28"/>
          <w:szCs w:val="28"/>
        </w:rPr>
        <w:t>Среднемесячная заработная плата работников списочного состава организаций, не относящихся к субъектам малого и среднего предпринимательства, за январь — март 2023 года увеличилась до               36827,0</w:t>
      </w:r>
      <w:r w:rsidR="00EF2424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Pr="00D97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 при темпе роста 115,1</w:t>
      </w:r>
      <w:r w:rsidR="004E3A29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Pr="00D97E3C">
        <w:rPr>
          <w:rFonts w:ascii="Times New Roman" w:eastAsia="Calibri" w:hAnsi="Times New Roman" w:cs="Times New Roman"/>
          <w:color w:val="000000"/>
          <w:sz w:val="28"/>
          <w:szCs w:val="28"/>
        </w:rPr>
        <w:t>% к показателю аналогичного периода прошлого года.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Ожидается, что по итогам 2023 года значение показателя достигнет 42019,34 рубля при темпе роста 108,00% к уровню 2022 года. Положительная динамика </w:t>
      </w:r>
      <w:r w:rsidRPr="00D97E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среднемесячной заработной платы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сохранится и в прогнозируемом периоде, темп роста </w:t>
      </w:r>
      <w:r w:rsidR="004E3A29"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в 2024 </w:t>
      </w:r>
      <w:r w:rsidR="004E3A29">
        <w:rPr>
          <w:rFonts w:ascii="Times New Roman" w:eastAsia="Lucida Sans Unicode" w:hAnsi="Times New Roman" w:cs="Times New Roman"/>
          <w:sz w:val="28"/>
          <w:szCs w:val="28"/>
        </w:rPr>
        <w:t xml:space="preserve">году 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в базовом варианте </w:t>
      </w:r>
      <w:r w:rsidR="004E3A29">
        <w:rPr>
          <w:rFonts w:ascii="Times New Roman" w:eastAsia="Lucida Sans Unicode" w:hAnsi="Times New Roman" w:cs="Times New Roman"/>
          <w:sz w:val="28"/>
          <w:szCs w:val="28"/>
        </w:rPr>
        <w:t>прогнозируется не менее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107</w:t>
      </w:r>
      <w:r w:rsidR="0069667F">
        <w:rPr>
          <w:rFonts w:ascii="Times New Roman" w:eastAsia="Lucida Sans Unicode" w:hAnsi="Times New Roman" w:cs="Times New Roman"/>
          <w:sz w:val="28"/>
          <w:szCs w:val="28"/>
        </w:rPr>
        <w:t>,00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>% к предыдущему году, а в 2026 году увеличится на 31,81% в сравнении с 2022 годом.</w:t>
      </w:r>
    </w:p>
    <w:p w:rsidR="00ED6137" w:rsidRPr="00D97E3C" w:rsidRDefault="00ED6137" w:rsidP="00D97E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Lucida Sans Unicode" w:hAnsi="Times New Roman" w:cs="Times New Roman"/>
          <w:sz w:val="28"/>
          <w:szCs w:val="28"/>
        </w:rPr>
        <w:t>По оценке, в 2023 году фонд заработной платы работников организаций увеличится на 3,32% в сравнении с 2022 годом или до 5082,66 млн. рублей. По итогам 2026 года значение данного показателя достигнет 6221,66 млн. рублей.</w:t>
      </w:r>
    </w:p>
    <w:p w:rsidR="00ED6137" w:rsidRPr="00D97E3C" w:rsidRDefault="00ED6137" w:rsidP="00D97E3C">
      <w:pPr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данным ГКУ «</w:t>
      </w:r>
      <w:proofErr w:type="spellStart"/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>ЦЗН</w:t>
      </w:r>
      <w:proofErr w:type="spellEnd"/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Петровского района» </w:t>
      </w:r>
      <w:r w:rsidRPr="00D97E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уровень регистрируемой безработицы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состоянию на 31 марта 2023 года составлял 1,3% (на 30 марта 2022 года — 1,2%). Численность официально зарегистрированных безработных - 427 человек, потребность в работниках, заявленная работодателями в органы службы занятости населения 716 человек (по </w:t>
      </w:r>
      <w:r w:rsidRPr="00D97E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состоянию на 30 марта 2022 года 391 человек и 663 человека соответственно). </w:t>
      </w:r>
      <w:r w:rsidRPr="00D97E3C">
        <w:rPr>
          <w:rFonts w:ascii="Times New Roman" w:hAnsi="Times New Roman" w:cs="Times New Roman"/>
          <w:sz w:val="28"/>
          <w:szCs w:val="28"/>
          <w:shd w:val="clear" w:color="auto" w:fill="FFFFFF"/>
        </w:rPr>
        <w:t>В 2024 - 2026 годах ожидается снижение данного показателя до</w:t>
      </w:r>
      <w:r w:rsidRPr="00D97E3C">
        <w:rPr>
          <w:rFonts w:ascii="Times New Roman" w:eastAsia="Lucida Sans Unicode" w:hAnsi="Times New Roman" w:cs="Times New Roman"/>
          <w:sz w:val="28"/>
          <w:szCs w:val="28"/>
        </w:rPr>
        <w:t xml:space="preserve"> 0,3 тыс. человек, а уровня зарегистрированной безработицы до 1,1% к концу 2026 года. </w:t>
      </w:r>
    </w:p>
    <w:p w:rsidR="00ED6137" w:rsidRPr="00D97E3C" w:rsidRDefault="00ED6137" w:rsidP="00D97E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7E3C">
        <w:rPr>
          <w:rFonts w:ascii="Times New Roman" w:hAnsi="Times New Roman" w:cs="Times New Roman"/>
          <w:sz w:val="28"/>
          <w:szCs w:val="28"/>
          <w:shd w:val="clear" w:color="auto" w:fill="FFFFFF"/>
        </w:rPr>
        <w:t>По оценке, численность занятых в экономике к концу 2023 года достигнет 18,25 тыс. человек. В 2024</w:t>
      </w:r>
      <w:r w:rsidR="006966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</w:t>
      </w:r>
      <w:r w:rsidRPr="00D9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2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базовом варианте </w:t>
      </w:r>
      <w:r w:rsidRPr="00D9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существенного увеличения занятых не прогнозируется, </w:t>
      </w:r>
      <w:r w:rsidR="00BB257A">
        <w:rPr>
          <w:rFonts w:ascii="Times New Roman" w:hAnsi="Times New Roman" w:cs="Times New Roman"/>
          <w:sz w:val="28"/>
          <w:szCs w:val="28"/>
          <w:shd w:val="clear" w:color="auto" w:fill="FFFFFF"/>
        </w:rPr>
        <w:t>к концу прогнозного периода</w:t>
      </w:r>
      <w:r w:rsidRPr="00D9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показатель увеличится до 18,32 тыс. человек. Рост занятости будет обеспечен за счет увеличения числа «самозанятых», а также расширением границ трудоспособного возраста.</w:t>
      </w:r>
    </w:p>
    <w:p w:rsidR="00ED6137" w:rsidRPr="00D97E3C" w:rsidRDefault="00ED6137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2D6" w:rsidRPr="00D97E3C" w:rsidRDefault="00C952D6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Финансы организаций</w:t>
      </w:r>
    </w:p>
    <w:p w:rsidR="00C952D6" w:rsidRPr="00D97E3C" w:rsidRDefault="00C952D6" w:rsidP="00D97E3C">
      <w:pPr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Сальдированный финансовый результат деятельности организаций без субъектов МСП, банков, страховых организаций и бюджетных учреждений за январь - март текущего года сложился положительным и составил 96,0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при темпе роста к показателю аналогичного периода 2022 года 45,7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%. Прибыль в размере 246,3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получили 57,1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 организаций округа. Ожидается, что в 2023 году темп роста прибыли прибыльных организаций для целей бухгалтерского учета составит 101,7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%, а в 2024 году увеличится до 115,9</w:t>
      </w:r>
      <w:r w:rsidR="00EF2424"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базовом варианте). Росту показателя будет способствовать выход российской сельскохозяйственной продукции на новые рынки, </w:t>
      </w:r>
      <w:r w:rsidR="006C441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97E3C">
        <w:rPr>
          <w:rFonts w:ascii="Times New Roman" w:hAnsi="Times New Roman" w:cs="Times New Roman"/>
          <w:sz w:val="28"/>
          <w:szCs w:val="28"/>
        </w:rPr>
        <w:t>активная экспортная деятельность промышленных предприятий округа.</w:t>
      </w:r>
    </w:p>
    <w:p w:rsidR="00C952D6" w:rsidRPr="00D97E3C" w:rsidRDefault="00C952D6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2D6" w:rsidRPr="00D97E3C" w:rsidRDefault="00C952D6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Развитие социальной сферы</w:t>
      </w:r>
    </w:p>
    <w:p w:rsidR="009C7893" w:rsidRPr="00D97E3C" w:rsidRDefault="00C952D6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ab/>
      </w:r>
      <w:r w:rsidR="009C7893" w:rsidRPr="00D97E3C">
        <w:rPr>
          <w:rFonts w:ascii="Times New Roman" w:hAnsi="Times New Roman" w:cs="Times New Roman"/>
          <w:sz w:val="28"/>
          <w:szCs w:val="28"/>
        </w:rPr>
        <w:t>В 2022 году в округе проживало 4129 детей в возрасте 1 - 6 лет, из них 2831 ребенок посещал дошкольны</w:t>
      </w:r>
      <w:r w:rsidR="00222ECA" w:rsidRPr="00D97E3C">
        <w:rPr>
          <w:rFonts w:ascii="Times New Roman" w:hAnsi="Times New Roman" w:cs="Times New Roman"/>
          <w:sz w:val="28"/>
          <w:szCs w:val="28"/>
        </w:rPr>
        <w:t>е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222ECA" w:rsidRPr="00D97E3C">
        <w:rPr>
          <w:rFonts w:ascii="Times New Roman" w:hAnsi="Times New Roman" w:cs="Times New Roman"/>
          <w:sz w:val="28"/>
          <w:szCs w:val="28"/>
        </w:rPr>
        <w:t>е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 учреждения округа </w:t>
      </w:r>
      <w:r w:rsidR="00222ECA" w:rsidRPr="00D97E3C">
        <w:rPr>
          <w:rFonts w:ascii="Times New Roman" w:hAnsi="Times New Roman" w:cs="Times New Roman"/>
          <w:sz w:val="28"/>
          <w:szCs w:val="28"/>
        </w:rPr>
        <w:t xml:space="preserve">(далее – ДОУ). 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Общее количество мест в </w:t>
      </w:r>
      <w:r w:rsidR="00222ECA" w:rsidRPr="00D97E3C">
        <w:rPr>
          <w:rFonts w:ascii="Times New Roman" w:hAnsi="Times New Roman" w:cs="Times New Roman"/>
          <w:sz w:val="28"/>
          <w:szCs w:val="28"/>
        </w:rPr>
        <w:t xml:space="preserve">ДОУ </w:t>
      </w:r>
      <w:r w:rsidR="009C7893" w:rsidRPr="00D97E3C">
        <w:rPr>
          <w:rFonts w:ascii="Times New Roman" w:hAnsi="Times New Roman" w:cs="Times New Roman"/>
          <w:sz w:val="28"/>
          <w:szCs w:val="28"/>
        </w:rPr>
        <w:t>сократилось с 3583 мест 2021 году до 3216 мест в 2022 году из-за перерасчета норматива в компенсирующих/комбинированных группах для детей, нуждающихся в коррекции речи, в соответствии с требованиями санитарного законодательства</w:t>
      </w:r>
      <w:r w:rsidR="00BB257A">
        <w:rPr>
          <w:rFonts w:ascii="Times New Roman" w:hAnsi="Times New Roman" w:cs="Times New Roman"/>
          <w:sz w:val="28"/>
          <w:szCs w:val="28"/>
        </w:rPr>
        <w:t xml:space="preserve"> с </w:t>
      </w:r>
      <w:r w:rsidR="00BB257A" w:rsidRPr="00D97E3C">
        <w:rPr>
          <w:rFonts w:ascii="Times New Roman" w:hAnsi="Times New Roman" w:cs="Times New Roman"/>
          <w:sz w:val="28"/>
          <w:szCs w:val="28"/>
        </w:rPr>
        <w:t xml:space="preserve">20 мест 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в общеобразовательных группах </w:t>
      </w:r>
      <w:r w:rsidR="00BB257A">
        <w:rPr>
          <w:rFonts w:ascii="Times New Roman" w:hAnsi="Times New Roman" w:cs="Times New Roman"/>
          <w:sz w:val="28"/>
          <w:szCs w:val="28"/>
        </w:rPr>
        <w:t>до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="00BB257A" w:rsidRPr="00D97E3C">
        <w:rPr>
          <w:rFonts w:ascii="Times New Roman" w:hAnsi="Times New Roman" w:cs="Times New Roman"/>
          <w:sz w:val="28"/>
          <w:szCs w:val="28"/>
        </w:rPr>
        <w:t xml:space="preserve">10/15 мест 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компенсирующих/комбинированных группах. Таким образом, обеспеченность </w:t>
      </w:r>
      <w:r w:rsidR="00222ECA" w:rsidRPr="00D97E3C">
        <w:rPr>
          <w:rFonts w:ascii="Times New Roman" w:hAnsi="Times New Roman" w:cs="Times New Roman"/>
          <w:sz w:val="28"/>
          <w:szCs w:val="28"/>
        </w:rPr>
        <w:t>ДОУ в расчете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 </w:t>
      </w:r>
      <w:r w:rsidR="00222ECA" w:rsidRPr="00D97E3C">
        <w:rPr>
          <w:rFonts w:ascii="Times New Roman" w:hAnsi="Times New Roman" w:cs="Times New Roman"/>
          <w:sz w:val="28"/>
          <w:szCs w:val="28"/>
        </w:rPr>
        <w:t xml:space="preserve">на 1000 детей в возрасте 1 - 6 лет </w:t>
      </w:r>
      <w:r w:rsidR="003B6941">
        <w:rPr>
          <w:rFonts w:ascii="Times New Roman" w:hAnsi="Times New Roman" w:cs="Times New Roman"/>
          <w:sz w:val="28"/>
          <w:szCs w:val="28"/>
        </w:rPr>
        <w:t xml:space="preserve">сократилась до </w:t>
      </w:r>
      <w:r w:rsidR="009C7893" w:rsidRPr="00D97E3C">
        <w:rPr>
          <w:rFonts w:ascii="Times New Roman" w:hAnsi="Times New Roman" w:cs="Times New Roman"/>
          <w:sz w:val="28"/>
          <w:szCs w:val="28"/>
        </w:rPr>
        <w:t xml:space="preserve">779 мест. </w:t>
      </w:r>
    </w:p>
    <w:p w:rsidR="00222ECA" w:rsidRPr="00D97E3C" w:rsidRDefault="00222ECA" w:rsidP="00D97E3C">
      <w:pPr>
        <w:pStyle w:val="1"/>
        <w:spacing w:after="0" w:line="240" w:lineRule="auto"/>
        <w:ind w:firstLine="709"/>
        <w:rPr>
          <w:rFonts w:ascii="Times New Roman" w:hAnsi="Times New Roman" w:cs="Times New Roman"/>
        </w:rPr>
      </w:pPr>
      <w:r w:rsidRPr="00D97E3C">
        <w:rPr>
          <w:rFonts w:ascii="Times New Roman" w:hAnsi="Times New Roman" w:cs="Times New Roman"/>
          <w:color w:val="000000"/>
        </w:rPr>
        <w:t xml:space="preserve">Для оказания круглосуточной стационарной помощи в </w:t>
      </w:r>
      <w:proofErr w:type="spellStart"/>
      <w:r w:rsidRPr="00D97E3C">
        <w:rPr>
          <w:rFonts w:ascii="Times New Roman" w:hAnsi="Times New Roman" w:cs="Times New Roman"/>
          <w:color w:val="000000"/>
        </w:rPr>
        <w:t>ГБУЗ</w:t>
      </w:r>
      <w:proofErr w:type="spellEnd"/>
      <w:r w:rsidRPr="00D97E3C">
        <w:rPr>
          <w:rFonts w:ascii="Times New Roman" w:hAnsi="Times New Roman" w:cs="Times New Roman"/>
          <w:color w:val="000000"/>
        </w:rPr>
        <w:t xml:space="preserve"> СК «Петровская районная больница» развернуто </w:t>
      </w:r>
      <w:r w:rsidRPr="00D97E3C">
        <w:rPr>
          <w:rFonts w:ascii="Times New Roman" w:eastAsia="MS Mincho" w:hAnsi="Times New Roman" w:cs="Times New Roman"/>
          <w:color w:val="000000"/>
        </w:rPr>
        <w:t>376</w:t>
      </w:r>
      <w:r w:rsidRPr="00D97E3C">
        <w:rPr>
          <w:rFonts w:ascii="Times New Roman" w:hAnsi="Times New Roman" w:cs="Times New Roman"/>
          <w:color w:val="000000"/>
        </w:rPr>
        <w:t xml:space="preserve"> коек</w:t>
      </w:r>
      <w:r w:rsidR="00281A86" w:rsidRPr="00D97E3C">
        <w:rPr>
          <w:rFonts w:ascii="Times New Roman" w:hAnsi="Times New Roman" w:cs="Times New Roman"/>
          <w:color w:val="000000"/>
        </w:rPr>
        <w:t xml:space="preserve"> и 105 коек дневного стационара или 69,56 коек в расчете на 10,0 тыс. человек.</w:t>
      </w:r>
      <w:r w:rsidRPr="00D97E3C">
        <w:rPr>
          <w:rFonts w:ascii="Times New Roman" w:hAnsi="Times New Roman" w:cs="Times New Roman"/>
          <w:color w:val="000000"/>
        </w:rPr>
        <w:t xml:space="preserve"> </w:t>
      </w:r>
    </w:p>
    <w:p w:rsidR="00222ECA" w:rsidRPr="00D97E3C" w:rsidRDefault="00222ECA" w:rsidP="00D97E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97E3C">
        <w:rPr>
          <w:rFonts w:ascii="Times New Roman" w:eastAsia="Calibri" w:hAnsi="Times New Roman" w:cs="Times New Roman"/>
          <w:bCs/>
          <w:sz w:val="28"/>
          <w:szCs w:val="28"/>
        </w:rPr>
        <w:t xml:space="preserve">Сеть муниципальных учреждений культуры включает 24 клубных учреждения, 22 библиотеки, 2 музея, детские художественную и музыкальную школы, что соответствует нормативной потребности. </w:t>
      </w:r>
    </w:p>
    <w:p w:rsidR="00FF73EA" w:rsidRPr="00B24FD6" w:rsidRDefault="00222ECA" w:rsidP="00B24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ab/>
        <w:t>В связи с сохраняющейся негативной динамикой демографических показателей</w:t>
      </w:r>
      <w:r w:rsidR="00281A86" w:rsidRPr="00D97E3C">
        <w:rPr>
          <w:rFonts w:ascii="Times New Roman" w:hAnsi="Times New Roman" w:cs="Times New Roman"/>
          <w:sz w:val="28"/>
          <w:szCs w:val="28"/>
        </w:rPr>
        <w:t xml:space="preserve"> в прогнозируемом периоде будет отмечаться увеличение расчетных значений показателей, характеризующих обеспеченность населения социальными учреждениями.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73EA" w:rsidRPr="00B24FD6" w:rsidSect="00C939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897"/>
    <w:rsid w:val="000060E5"/>
    <w:rsid w:val="000110A9"/>
    <w:rsid w:val="00011927"/>
    <w:rsid w:val="000139B4"/>
    <w:rsid w:val="00024CA3"/>
    <w:rsid w:val="0005409E"/>
    <w:rsid w:val="000571DD"/>
    <w:rsid w:val="0006017A"/>
    <w:rsid w:val="0006199D"/>
    <w:rsid w:val="00067132"/>
    <w:rsid w:val="00083887"/>
    <w:rsid w:val="000911C6"/>
    <w:rsid w:val="00092D15"/>
    <w:rsid w:val="000A230C"/>
    <w:rsid w:val="000C1A9A"/>
    <w:rsid w:val="000C230E"/>
    <w:rsid w:val="000C78CB"/>
    <w:rsid w:val="000D4DE9"/>
    <w:rsid w:val="000D58A7"/>
    <w:rsid w:val="000D7DB7"/>
    <w:rsid w:val="000E06D8"/>
    <w:rsid w:val="000E11CB"/>
    <w:rsid w:val="000E2004"/>
    <w:rsid w:val="000F0287"/>
    <w:rsid w:val="000F21A6"/>
    <w:rsid w:val="000F37CA"/>
    <w:rsid w:val="00113A97"/>
    <w:rsid w:val="001171CF"/>
    <w:rsid w:val="001246E9"/>
    <w:rsid w:val="00124A34"/>
    <w:rsid w:val="001313AA"/>
    <w:rsid w:val="00133A32"/>
    <w:rsid w:val="00137A62"/>
    <w:rsid w:val="00152F22"/>
    <w:rsid w:val="00162A33"/>
    <w:rsid w:val="001676F2"/>
    <w:rsid w:val="00170D25"/>
    <w:rsid w:val="001746B4"/>
    <w:rsid w:val="00176A66"/>
    <w:rsid w:val="0019391B"/>
    <w:rsid w:val="001A0D2F"/>
    <w:rsid w:val="001A28DF"/>
    <w:rsid w:val="001A4BDB"/>
    <w:rsid w:val="001A6197"/>
    <w:rsid w:val="001A6F19"/>
    <w:rsid w:val="001B4D4D"/>
    <w:rsid w:val="001B6333"/>
    <w:rsid w:val="001C28A3"/>
    <w:rsid w:val="001C3965"/>
    <w:rsid w:val="001C3D5B"/>
    <w:rsid w:val="001D0D9E"/>
    <w:rsid w:val="001D4C1F"/>
    <w:rsid w:val="001F1122"/>
    <w:rsid w:val="00203141"/>
    <w:rsid w:val="00204F7F"/>
    <w:rsid w:val="002056FA"/>
    <w:rsid w:val="00206B0C"/>
    <w:rsid w:val="002152A7"/>
    <w:rsid w:val="00222ECA"/>
    <w:rsid w:val="002234E5"/>
    <w:rsid w:val="002268FF"/>
    <w:rsid w:val="002452A0"/>
    <w:rsid w:val="0025355A"/>
    <w:rsid w:val="002555A9"/>
    <w:rsid w:val="00256C01"/>
    <w:rsid w:val="00257851"/>
    <w:rsid w:val="002709F7"/>
    <w:rsid w:val="00276572"/>
    <w:rsid w:val="0028180C"/>
    <w:rsid w:val="00281A86"/>
    <w:rsid w:val="00287E5E"/>
    <w:rsid w:val="002941F2"/>
    <w:rsid w:val="00294731"/>
    <w:rsid w:val="002A1FC9"/>
    <w:rsid w:val="002A5EB4"/>
    <w:rsid w:val="002C6211"/>
    <w:rsid w:val="002D134E"/>
    <w:rsid w:val="002D4363"/>
    <w:rsid w:val="002D60D7"/>
    <w:rsid w:val="002E2C89"/>
    <w:rsid w:val="002E3BDE"/>
    <w:rsid w:val="002F4289"/>
    <w:rsid w:val="00320D49"/>
    <w:rsid w:val="00322FE0"/>
    <w:rsid w:val="0032466F"/>
    <w:rsid w:val="0032786A"/>
    <w:rsid w:val="00330A72"/>
    <w:rsid w:val="00344295"/>
    <w:rsid w:val="0035449B"/>
    <w:rsid w:val="00357792"/>
    <w:rsid w:val="00382498"/>
    <w:rsid w:val="00382B85"/>
    <w:rsid w:val="0039054D"/>
    <w:rsid w:val="0039076E"/>
    <w:rsid w:val="003A7925"/>
    <w:rsid w:val="003A7C33"/>
    <w:rsid w:val="003B0699"/>
    <w:rsid w:val="003B6941"/>
    <w:rsid w:val="003C73F8"/>
    <w:rsid w:val="003F63B0"/>
    <w:rsid w:val="00404338"/>
    <w:rsid w:val="00405A89"/>
    <w:rsid w:val="004064FB"/>
    <w:rsid w:val="00413E3B"/>
    <w:rsid w:val="004219D2"/>
    <w:rsid w:val="004237C4"/>
    <w:rsid w:val="00424925"/>
    <w:rsid w:val="00424C81"/>
    <w:rsid w:val="00427F9E"/>
    <w:rsid w:val="00431D63"/>
    <w:rsid w:val="00442794"/>
    <w:rsid w:val="00443752"/>
    <w:rsid w:val="00445E95"/>
    <w:rsid w:val="004569F6"/>
    <w:rsid w:val="00461D9A"/>
    <w:rsid w:val="004714A6"/>
    <w:rsid w:val="00473FC0"/>
    <w:rsid w:val="00477D60"/>
    <w:rsid w:val="004825C4"/>
    <w:rsid w:val="004919F6"/>
    <w:rsid w:val="004A11AE"/>
    <w:rsid w:val="004A24B6"/>
    <w:rsid w:val="004A33F7"/>
    <w:rsid w:val="004B7928"/>
    <w:rsid w:val="004C2ED0"/>
    <w:rsid w:val="004D04DB"/>
    <w:rsid w:val="004D0C6A"/>
    <w:rsid w:val="004D5DC3"/>
    <w:rsid w:val="004D6875"/>
    <w:rsid w:val="004E3A29"/>
    <w:rsid w:val="00500B97"/>
    <w:rsid w:val="00502E8E"/>
    <w:rsid w:val="00524D3A"/>
    <w:rsid w:val="005263F3"/>
    <w:rsid w:val="005364B2"/>
    <w:rsid w:val="005402A8"/>
    <w:rsid w:val="00544635"/>
    <w:rsid w:val="005530A2"/>
    <w:rsid w:val="00556E68"/>
    <w:rsid w:val="00560487"/>
    <w:rsid w:val="005631CE"/>
    <w:rsid w:val="005775EA"/>
    <w:rsid w:val="005836BA"/>
    <w:rsid w:val="005863CD"/>
    <w:rsid w:val="0058783E"/>
    <w:rsid w:val="005A4C03"/>
    <w:rsid w:val="005B174D"/>
    <w:rsid w:val="005B55E3"/>
    <w:rsid w:val="005C3BE8"/>
    <w:rsid w:val="005D2FFD"/>
    <w:rsid w:val="005E0192"/>
    <w:rsid w:val="005E501D"/>
    <w:rsid w:val="005E74E0"/>
    <w:rsid w:val="0060790E"/>
    <w:rsid w:val="0061723E"/>
    <w:rsid w:val="0062207D"/>
    <w:rsid w:val="00624204"/>
    <w:rsid w:val="00630184"/>
    <w:rsid w:val="00642CDC"/>
    <w:rsid w:val="00660B11"/>
    <w:rsid w:val="00664674"/>
    <w:rsid w:val="00666969"/>
    <w:rsid w:val="00673370"/>
    <w:rsid w:val="00673778"/>
    <w:rsid w:val="00682DB7"/>
    <w:rsid w:val="00687199"/>
    <w:rsid w:val="006914C5"/>
    <w:rsid w:val="00692098"/>
    <w:rsid w:val="006932E8"/>
    <w:rsid w:val="006946BB"/>
    <w:rsid w:val="006964E1"/>
    <w:rsid w:val="0069667F"/>
    <w:rsid w:val="006A0616"/>
    <w:rsid w:val="006C0572"/>
    <w:rsid w:val="006C05CC"/>
    <w:rsid w:val="006C4413"/>
    <w:rsid w:val="006C71BD"/>
    <w:rsid w:val="006D044E"/>
    <w:rsid w:val="006D42E8"/>
    <w:rsid w:val="006D7F3B"/>
    <w:rsid w:val="006E26C5"/>
    <w:rsid w:val="006F0726"/>
    <w:rsid w:val="00701AC2"/>
    <w:rsid w:val="007021BB"/>
    <w:rsid w:val="00705D4B"/>
    <w:rsid w:val="00710B4D"/>
    <w:rsid w:val="007175F4"/>
    <w:rsid w:val="007233CD"/>
    <w:rsid w:val="00725A65"/>
    <w:rsid w:val="00746483"/>
    <w:rsid w:val="00747C81"/>
    <w:rsid w:val="007528D5"/>
    <w:rsid w:val="00765EA0"/>
    <w:rsid w:val="0076689C"/>
    <w:rsid w:val="007678CF"/>
    <w:rsid w:val="00767A0B"/>
    <w:rsid w:val="0077534E"/>
    <w:rsid w:val="007769E1"/>
    <w:rsid w:val="00782453"/>
    <w:rsid w:val="0078303E"/>
    <w:rsid w:val="007858A8"/>
    <w:rsid w:val="007931DA"/>
    <w:rsid w:val="007949E8"/>
    <w:rsid w:val="007956CA"/>
    <w:rsid w:val="007A1D2A"/>
    <w:rsid w:val="007A2C04"/>
    <w:rsid w:val="007A76BC"/>
    <w:rsid w:val="007B6FD0"/>
    <w:rsid w:val="007B70CB"/>
    <w:rsid w:val="007B7F3D"/>
    <w:rsid w:val="007C01F6"/>
    <w:rsid w:val="007C36D3"/>
    <w:rsid w:val="0081319D"/>
    <w:rsid w:val="00824828"/>
    <w:rsid w:val="008310DC"/>
    <w:rsid w:val="00843854"/>
    <w:rsid w:val="008506F9"/>
    <w:rsid w:val="00864ED3"/>
    <w:rsid w:val="00873E96"/>
    <w:rsid w:val="008750FF"/>
    <w:rsid w:val="00881B77"/>
    <w:rsid w:val="008820D2"/>
    <w:rsid w:val="008843C5"/>
    <w:rsid w:val="008845E6"/>
    <w:rsid w:val="008861D7"/>
    <w:rsid w:val="008A0887"/>
    <w:rsid w:val="008A0E2A"/>
    <w:rsid w:val="008A5967"/>
    <w:rsid w:val="008B024C"/>
    <w:rsid w:val="008B6214"/>
    <w:rsid w:val="008E0049"/>
    <w:rsid w:val="008E50C2"/>
    <w:rsid w:val="008F1BA7"/>
    <w:rsid w:val="008F5FC6"/>
    <w:rsid w:val="00906DE3"/>
    <w:rsid w:val="00924A8C"/>
    <w:rsid w:val="00931F6F"/>
    <w:rsid w:val="0093710B"/>
    <w:rsid w:val="0093785D"/>
    <w:rsid w:val="00942D8A"/>
    <w:rsid w:val="00943CF2"/>
    <w:rsid w:val="0095278A"/>
    <w:rsid w:val="0096555F"/>
    <w:rsid w:val="00966531"/>
    <w:rsid w:val="0098624D"/>
    <w:rsid w:val="00987B93"/>
    <w:rsid w:val="0099765B"/>
    <w:rsid w:val="009B1CCB"/>
    <w:rsid w:val="009B2B9D"/>
    <w:rsid w:val="009C7893"/>
    <w:rsid w:val="009D2F9B"/>
    <w:rsid w:val="009D7C83"/>
    <w:rsid w:val="009E2174"/>
    <w:rsid w:val="009F0092"/>
    <w:rsid w:val="009F5533"/>
    <w:rsid w:val="00A03BAB"/>
    <w:rsid w:val="00A0743B"/>
    <w:rsid w:val="00A21FFF"/>
    <w:rsid w:val="00A3097B"/>
    <w:rsid w:val="00A30FF9"/>
    <w:rsid w:val="00A3140F"/>
    <w:rsid w:val="00A369E2"/>
    <w:rsid w:val="00A51D06"/>
    <w:rsid w:val="00A63250"/>
    <w:rsid w:val="00A63DFE"/>
    <w:rsid w:val="00A7006B"/>
    <w:rsid w:val="00A83576"/>
    <w:rsid w:val="00A85DAE"/>
    <w:rsid w:val="00A87652"/>
    <w:rsid w:val="00AB18D7"/>
    <w:rsid w:val="00AB1F25"/>
    <w:rsid w:val="00AB2A5A"/>
    <w:rsid w:val="00AB4F6E"/>
    <w:rsid w:val="00AC5394"/>
    <w:rsid w:val="00AC635A"/>
    <w:rsid w:val="00AE52A9"/>
    <w:rsid w:val="00AF2899"/>
    <w:rsid w:val="00AF4919"/>
    <w:rsid w:val="00B005E1"/>
    <w:rsid w:val="00B06DE9"/>
    <w:rsid w:val="00B137F5"/>
    <w:rsid w:val="00B152A8"/>
    <w:rsid w:val="00B16E7A"/>
    <w:rsid w:val="00B230B8"/>
    <w:rsid w:val="00B24FD6"/>
    <w:rsid w:val="00B30E72"/>
    <w:rsid w:val="00B31A79"/>
    <w:rsid w:val="00B32446"/>
    <w:rsid w:val="00B34F33"/>
    <w:rsid w:val="00B35E2E"/>
    <w:rsid w:val="00B46080"/>
    <w:rsid w:val="00B4751E"/>
    <w:rsid w:val="00B55E5C"/>
    <w:rsid w:val="00B6311E"/>
    <w:rsid w:val="00B67AF3"/>
    <w:rsid w:val="00B808E4"/>
    <w:rsid w:val="00B91657"/>
    <w:rsid w:val="00B91EA7"/>
    <w:rsid w:val="00B942ED"/>
    <w:rsid w:val="00B978D6"/>
    <w:rsid w:val="00BA489E"/>
    <w:rsid w:val="00BA4E18"/>
    <w:rsid w:val="00BB257A"/>
    <w:rsid w:val="00BC38B7"/>
    <w:rsid w:val="00BC4897"/>
    <w:rsid w:val="00BD1B41"/>
    <w:rsid w:val="00BD2BD4"/>
    <w:rsid w:val="00BE3676"/>
    <w:rsid w:val="00BE6977"/>
    <w:rsid w:val="00BF5A3E"/>
    <w:rsid w:val="00BF5ACB"/>
    <w:rsid w:val="00C035FA"/>
    <w:rsid w:val="00C12860"/>
    <w:rsid w:val="00C20146"/>
    <w:rsid w:val="00C2457F"/>
    <w:rsid w:val="00C269F2"/>
    <w:rsid w:val="00C4418B"/>
    <w:rsid w:val="00C45C09"/>
    <w:rsid w:val="00C477E6"/>
    <w:rsid w:val="00C47850"/>
    <w:rsid w:val="00C6716B"/>
    <w:rsid w:val="00C7752B"/>
    <w:rsid w:val="00C82A9D"/>
    <w:rsid w:val="00C939E8"/>
    <w:rsid w:val="00C952D6"/>
    <w:rsid w:val="00CA023E"/>
    <w:rsid w:val="00CA0B50"/>
    <w:rsid w:val="00CA57C5"/>
    <w:rsid w:val="00CB3703"/>
    <w:rsid w:val="00CB4ED6"/>
    <w:rsid w:val="00CC3A79"/>
    <w:rsid w:val="00CE0020"/>
    <w:rsid w:val="00CE3F47"/>
    <w:rsid w:val="00CE4949"/>
    <w:rsid w:val="00CE7AED"/>
    <w:rsid w:val="00CF487F"/>
    <w:rsid w:val="00D019C6"/>
    <w:rsid w:val="00D01F14"/>
    <w:rsid w:val="00D02B53"/>
    <w:rsid w:val="00D03274"/>
    <w:rsid w:val="00D2642A"/>
    <w:rsid w:val="00D35AAC"/>
    <w:rsid w:val="00D35ACD"/>
    <w:rsid w:val="00D402BC"/>
    <w:rsid w:val="00D44AEE"/>
    <w:rsid w:val="00D54B95"/>
    <w:rsid w:val="00D54EF6"/>
    <w:rsid w:val="00D6315C"/>
    <w:rsid w:val="00D71AA7"/>
    <w:rsid w:val="00D81D55"/>
    <w:rsid w:val="00D9121B"/>
    <w:rsid w:val="00D923E7"/>
    <w:rsid w:val="00D934AE"/>
    <w:rsid w:val="00D948C4"/>
    <w:rsid w:val="00D96793"/>
    <w:rsid w:val="00D97E3C"/>
    <w:rsid w:val="00DB31BA"/>
    <w:rsid w:val="00DB4D16"/>
    <w:rsid w:val="00DD1DEB"/>
    <w:rsid w:val="00DD7BE5"/>
    <w:rsid w:val="00DE35D1"/>
    <w:rsid w:val="00DF0969"/>
    <w:rsid w:val="00DF7B3F"/>
    <w:rsid w:val="00E103BF"/>
    <w:rsid w:val="00E24B8A"/>
    <w:rsid w:val="00E25874"/>
    <w:rsid w:val="00E33448"/>
    <w:rsid w:val="00E57519"/>
    <w:rsid w:val="00E62A9E"/>
    <w:rsid w:val="00E63C31"/>
    <w:rsid w:val="00E6774F"/>
    <w:rsid w:val="00E74B29"/>
    <w:rsid w:val="00E778FA"/>
    <w:rsid w:val="00E93342"/>
    <w:rsid w:val="00E97A94"/>
    <w:rsid w:val="00EA322D"/>
    <w:rsid w:val="00EA5D0B"/>
    <w:rsid w:val="00EA6830"/>
    <w:rsid w:val="00EA775E"/>
    <w:rsid w:val="00EB0E9E"/>
    <w:rsid w:val="00EC1852"/>
    <w:rsid w:val="00EC2C10"/>
    <w:rsid w:val="00EC577B"/>
    <w:rsid w:val="00ED1D18"/>
    <w:rsid w:val="00ED6137"/>
    <w:rsid w:val="00EF2424"/>
    <w:rsid w:val="00EF7063"/>
    <w:rsid w:val="00F114A1"/>
    <w:rsid w:val="00F21EA6"/>
    <w:rsid w:val="00F2202F"/>
    <w:rsid w:val="00F24491"/>
    <w:rsid w:val="00F264D3"/>
    <w:rsid w:val="00F30BE3"/>
    <w:rsid w:val="00F32BB4"/>
    <w:rsid w:val="00F50711"/>
    <w:rsid w:val="00F52213"/>
    <w:rsid w:val="00F57C77"/>
    <w:rsid w:val="00F6187F"/>
    <w:rsid w:val="00F62149"/>
    <w:rsid w:val="00F74C9F"/>
    <w:rsid w:val="00F80046"/>
    <w:rsid w:val="00F84125"/>
    <w:rsid w:val="00F9058D"/>
    <w:rsid w:val="00F9414E"/>
    <w:rsid w:val="00F97E8B"/>
    <w:rsid w:val="00FA0933"/>
    <w:rsid w:val="00FB331E"/>
    <w:rsid w:val="00FB6F5D"/>
    <w:rsid w:val="00FB76CA"/>
    <w:rsid w:val="00FC09B1"/>
    <w:rsid w:val="00FC7B67"/>
    <w:rsid w:val="00FD01CF"/>
    <w:rsid w:val="00FD3A5E"/>
    <w:rsid w:val="00FE4DF3"/>
    <w:rsid w:val="00FF3010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B039"/>
  <w15:docId w15:val="{4CD5AB6A-0897-4604-91B4-4A4F7BB3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uiPriority w:val="99"/>
    <w:rsid w:val="00660B11"/>
    <w:pPr>
      <w:spacing w:before="120" w:after="120" w:line="360" w:lineRule="exact"/>
      <w:ind w:firstLine="709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rsid w:val="00660B11"/>
    <w:rPr>
      <w:rFonts w:ascii="Times New Roman" w:eastAsia="Calibri" w:hAnsi="Times New Roman" w:cs="Times New Roman"/>
      <w:sz w:val="24"/>
      <w:szCs w:val="20"/>
    </w:rPr>
  </w:style>
  <w:style w:type="paragraph" w:styleId="2">
    <w:name w:val="Body Text Indent 2"/>
    <w:basedOn w:val="a"/>
    <w:link w:val="20"/>
    <w:uiPriority w:val="99"/>
    <w:unhideWhenUsed/>
    <w:rsid w:val="00256C01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56C01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943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43CF2"/>
    <w:rPr>
      <w:color w:val="0000FF"/>
      <w:u w:val="single"/>
    </w:rPr>
  </w:style>
  <w:style w:type="paragraph" w:styleId="a7">
    <w:name w:val="No Spacing"/>
    <w:uiPriority w:val="1"/>
    <w:qFormat/>
    <w:rsid w:val="00B67AF3"/>
    <w:pPr>
      <w:suppressAutoHyphens/>
      <w:spacing w:after="0" w:line="240" w:lineRule="auto"/>
    </w:pPr>
  </w:style>
  <w:style w:type="paragraph" w:customStyle="1" w:styleId="ConsPlusNormal">
    <w:name w:val="ConsPlusNormal"/>
    <w:uiPriority w:val="99"/>
    <w:qFormat/>
    <w:rsid w:val="00C67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rsid w:val="002941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qFormat/>
    <w:rsid w:val="009F5533"/>
    <w:pPr>
      <w:tabs>
        <w:tab w:val="left" w:pos="709"/>
      </w:tabs>
      <w:suppressAutoHyphens/>
      <w:spacing w:beforeAutospacing="1" w:after="142" w:line="227" w:lineRule="exact"/>
      <w:ind w:firstLine="720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1">
    <w:name w:val="Обычный1"/>
    <w:rsid w:val="00222ECA"/>
    <w:pPr>
      <w:tabs>
        <w:tab w:val="left" w:pos="709"/>
      </w:tabs>
      <w:suppressAutoHyphens/>
      <w:ind w:firstLine="720"/>
      <w:jc w:val="both"/>
    </w:pPr>
    <w:rPr>
      <w:rFonts w:ascii="Courier New CYR" w:eastAsia="Calibri" w:hAnsi="Courier New CYR" w:cs="Courier New CYR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6436-4F99-4523-91FB-B48E86A0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8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Кириленко Лариса Васильевна</cp:lastModifiedBy>
  <cp:revision>114</cp:revision>
  <cp:lastPrinted>2017-11-15T06:00:00Z</cp:lastPrinted>
  <dcterms:created xsi:type="dcterms:W3CDTF">2022-10-28T13:26:00Z</dcterms:created>
  <dcterms:modified xsi:type="dcterms:W3CDTF">2023-06-20T13:57:00Z</dcterms:modified>
</cp:coreProperties>
</file>