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69"/>
        <w:gridCol w:w="4965"/>
        <w:gridCol w:w="34"/>
        <w:gridCol w:w="3044"/>
        <w:gridCol w:w="5798"/>
        <w:gridCol w:w="50"/>
        <w:gridCol w:w="21"/>
        <w:gridCol w:w="90"/>
        <w:gridCol w:w="36"/>
        <w:gridCol w:w="35"/>
        <w:gridCol w:w="72"/>
        <w:gridCol w:w="40"/>
        <w:gridCol w:w="40"/>
        <w:gridCol w:w="40"/>
        <w:gridCol w:w="40"/>
        <w:gridCol w:w="89"/>
        <w:gridCol w:w="40"/>
        <w:gridCol w:w="40"/>
      </w:tblGrid>
      <w:tr>
        <w:trPr>
          <w:trHeight w:val="375"/>
        </w:trPr>
        <w:tc>
          <w:tcPr>
            <w:tcW w:w="14410" w:type="dxa"/>
            <w:gridSpan w:val="5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реализации инвестиционных проектов на территории Петровского городского округа Ставропольского края 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eastAsia="SimSun" w:cs="Times New Roman"/>
                <w:b/>
                <w:color w:val="auto"/>
                <w:sz w:val="24"/>
                <w:szCs w:val="24"/>
                <w:lang w:val="ru-RU" w:eastAsia="zh-CN" w:bidi="ar-SA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SimSun" w:cs="Times New Roman"/>
                <w:b/>
                <w:color w:val="auto"/>
                <w:sz w:val="24"/>
                <w:szCs w:val="24"/>
                <w:lang w:val="ru-RU" w:eastAsia="zh-CN" w:bidi="ar-SA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SimSun" w:cs="Times New Roman"/>
                <w:b/>
                <w:color w:val="auto"/>
                <w:sz w:val="24"/>
                <w:szCs w:val="24"/>
                <w:lang w:val="ru-RU" w:eastAsia="zh-CN" w:bidi="ar-SA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71" w:type="dxa"/>
            <w:gridSpan w:val="2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" w:type="dxa"/>
            <w:gridSpan w:val="2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6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5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72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9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W w:w="14460" w:type="dxa"/>
            <w:gridSpan w:val="6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3" w:type="dxa"/>
            <w:gridSpan w:val="2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6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5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72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9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0" w:type="dxa"/>
            <w:textDirection w:val="lrTb"/>
            <w:vAlign w:val="top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инвестиционного проекта</w:t>
            </w:r>
          </w:p>
        </w:tc>
        <w:tc>
          <w:tcPr>
            <w:tcW w:w="643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</w:t>
            </w:r>
          </w:p>
        </w:tc>
      </w:tr>
      <w:tr>
        <w:trPr>
          <w:trHeight w:val="144"/>
        </w:trPr>
        <w:tc>
          <w:tcPr>
            <w:tcW w:w="1504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Сельскохозяйственное производство</w:t>
            </w:r>
          </w:p>
        </w:tc>
      </w:tr>
      <w:tr>
        <w:trPr>
          <w:trHeight w:val="1365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lang w:val="ru-RU" w:eastAsia="zh-CN" w:bidi="ar-SA"/>
              </w:rPr>
              <w:t xml:space="preserve">Оросительная система на землях ООО "Агропромышленная корпорация" Петровского муниципального округа Ставропольского края 1 этап.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</w:t>
            </w:r>
            <w:r>
              <w:rPr>
                <w:rFonts w:ascii="Times New Roman" w:hAnsi="Times New Roman" w:eastAsia="SimSun" w:cs="Times New Roman"/>
                <w:b/>
                <w:color w:val="auto"/>
                <w:sz w:val="24"/>
                <w:szCs w:val="24"/>
                <w:lang w:val="ru-RU" w:eastAsia="zh-CN" w:bidi="ar-SA"/>
              </w:rPr>
              <w:t xml:space="preserve">416,40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млн. рублей.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«Агропромышленная корпорация»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3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spacing w:before="0" w:after="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проектно-изыскательские работы, заключен договор об осуществлении технологического присоединения к электрическим сетям. Завершается процесс подбора поставщика дождевальных машин и оборудования. Планируется к созданию 51 рабочее место.</w:t>
            </w:r>
          </w:p>
        </w:tc>
      </w:tr>
      <w:tr>
        <w:trPr>
          <w:trHeight w:val="120"/>
        </w:trPr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lang w:val="ru-RU" w:eastAsia="zh-CN" w:bidi="ar-SA"/>
              </w:rPr>
              <w:t xml:space="preserve">Создание овощного комплекса по производству, переработке и хранению картофеля (Строительство 4,5 корпусов овощехранилища навального типа) с. Гофицкое.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ru-RU" w:eastAsia="zh-CN" w:bidi="ar-SA"/>
              </w:rPr>
              <w:t xml:space="preserve">Стоимость проекта 662,51 млн.руб.</w:t>
            </w:r>
          </w:p>
        </w:tc>
        <w:tc>
          <w:tcPr>
            <w:tcW w:w="3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«Иррико-Холдинг»</w:t>
            </w:r>
          </w:p>
        </w:tc>
        <w:tc>
          <w:tcPr>
            <w:tcW w:w="643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widowControl w:val="off"/>
              <w:spacing w:before="0" w:after="0" w:line="283" w:lineRule="exact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Построены 3 корпуса из 5 (2 корпуса картофелехранилищ мощностью хранения 300 тонн, 1 технологический корпус), закуплена вся необходимая техника, оборудование для оснащения корпусов закуплено для 1-3 корпусов. Планируется к созданию 26 рабочих мест, 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 w:eastAsia="zh-CN" w:bidi="ar-SA"/>
              </w:rPr>
              <w:t xml:space="preserve">создано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16.</w:t>
            </w:r>
          </w:p>
        </w:tc>
      </w:tr>
      <w:tr>
        <w:trPr>
          <w:trHeight w:val="144"/>
        </w:trPr>
        <w:tc>
          <w:tcPr>
            <w:tcW w:w="1504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Перерабатывающая промышленность</w:t>
            </w:r>
          </w:p>
        </w:tc>
      </w:tr>
      <w:tr>
        <w:trPr>
          <w:trHeight w:val="268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производства ООО «Светлоградский маслоэкстракционный завод»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</w:t>
            </w:r>
            <w:r>
              <w:rPr>
                <w:rFonts w:ascii="Times New Roman" w:hAnsi="Times New Roman" w:eastAsia="SimSun" w:cs="Times New Roman"/>
                <w:b/>
                <w:color w:val="auto"/>
                <w:sz w:val="24"/>
                <w:szCs w:val="24"/>
                <w:lang w:val="ru-RU" w:eastAsia="zh-CN" w:bidi="ar-SA"/>
              </w:rPr>
              <w:t xml:space="preserve">167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млн. рублей.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«Светлоградский маслоэкстракционный завод»</w:t>
            </w:r>
          </w:p>
        </w:tc>
        <w:tc>
          <w:tcPr>
            <w:tcW w:w="643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  <w:jc w:val="both"/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lang w:val="ru-RU" w:eastAsia="zh-CN" w:bidi="ar-SA"/>
              </w:rPr>
              <w:t xml:space="preserve">Составлен перечень мероприятий, приобретаемого оборудования и планируемых работ. Модернизация планируется во время остановки производства на летний плановый ремонт (июнь, июль 2024 года) Подготовительные работы (проектирование, заказ оборудования) начнут в апреле 2024 года. Получены разрешения на строительство котельной и цеха расфасовки масла. Планируется к созданию 15 новых рабочих мест.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5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цеха по убою животных.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21 млн. рублей.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Глоба А.Н.</w:t>
            </w:r>
          </w:p>
        </w:tc>
        <w:tc>
          <w:tcPr>
            <w:tcW w:w="643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Изготовлена проектно-сметная документация по проекту. Подведена вода, электроэнергия, ведутся внутренние отделочные работы цеха, по всему периметру установлено ограждение. Ведутся работы по благоустройству территории. Введены в эксплуатацию: котельная, пожарный резервуар и базы для карантинного отделения и изолятор, предубойный изолятор. Приобретены автотранспортные средства для перевозки животных. Запланирована установка нового оборудования для безотходного убоя и переработки сельскохозяйственных животных. Ведутся сварочные работы по газификации здания бойни, щебеночному ремонту дороги примыкающей к предприятию. Прорабатывается вопрос получения дополнительного финансирования для завершения проекта. Инвестиционный проект реализован на 90%. </w:t>
            </w: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lang w:val="ru-RU" w:eastAsia="zh-CN" w:bidi="ar-SA"/>
              </w:rPr>
              <w:t xml:space="preserve">Завершение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планируется в 3 квартале 2024 года. Планируется к созданию 20 рабочих мест, </w:t>
            </w: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lang w:val="ru-RU" w:eastAsia="zh-CN" w:bidi="ar-SA"/>
              </w:rPr>
              <w:t xml:space="preserve">создано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рабочее место.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5"/>
        </w:trPr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производственного оборудования в цех по производству мясных консервов.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0,988 млн. рублей</w:t>
            </w:r>
          </w:p>
        </w:tc>
        <w:tc>
          <w:tcPr>
            <w:tcW w:w="3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Ткаченко Е.В.</w:t>
            </w:r>
          </w:p>
        </w:tc>
        <w:tc>
          <w:tcPr>
            <w:tcW w:w="643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before="57" w:after="57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закуплено, планируется создание 2 рабочих места.</w:t>
            </w:r>
          </w:p>
        </w:tc>
      </w:tr>
      <w:tr>
        <w:trPr>
          <w:trHeight w:val="144"/>
        </w:trPr>
        <w:tc>
          <w:tcPr>
            <w:tcW w:w="1504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 электроэнергии, сбор, обработка и утилизация отходов; обработка вторичного сырья</w:t>
            </w:r>
          </w:p>
        </w:tc>
      </w:tr>
      <w:tr>
        <w:trPr>
          <w:trHeight w:val="270"/>
        </w:trPr>
        <w:tc>
          <w:tcPr>
            <w:tcW w:w="1504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 xml:space="preserve">Торговля</w:t>
            </w:r>
          </w:p>
        </w:tc>
      </w:tr>
      <w:tr>
        <w:trPr>
          <w:trHeight w:val="144"/>
        </w:trPr>
        <w:tc>
          <w:tcPr>
            <w:tcW w:w="1504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 и управление собственным или арендованным нежилым недвижимым имуществом</w:t>
            </w:r>
          </w:p>
        </w:tc>
      </w:tr>
      <w:tr>
        <w:trPr>
          <w:trHeight w:val="150"/>
        </w:trPr>
        <w:tc>
          <w:tcPr>
            <w:tcW w:w="1504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eastAsia="SimSun" w:cs="Times New Roman"/>
                <w:b/>
                <w:color w:val="auto"/>
                <w:sz w:val="24"/>
                <w:szCs w:val="24"/>
                <w:lang w:val="ru-RU" w:eastAsia="zh-CN" w:bidi="ar-SA"/>
              </w:rPr>
              <w:t xml:space="preserve">Образование</w:t>
            </w:r>
          </w:p>
        </w:tc>
      </w:tr>
      <w:tr>
        <w:trPr>
          <w:trHeight w:val="2547"/>
        </w:trPr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«Корректировка проектно-сметной документации по объекту: «Реконструкция комплекса зданий и сооружений муниципального бюджетного учреждения дополнительного образования «Детский оздоровительно – образовательный (профильный) центр «Родничок» в с. Гофицкое, ул. Виноградная, 1А, 1Б» и сопровождение при проведении государственной экспертизы»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auto"/>
                <w:lang w:eastAsia="ru-RU"/>
              </w:rPr>
              <w:t xml:space="preserve">Стоимость проекта 3,00 млн. руб.</w:t>
            </w:r>
          </w:p>
        </w:tc>
        <w:tc>
          <w:tcPr>
            <w:tcW w:w="3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before="0" w:after="280"/>
            </w:pPr>
            <w:r>
              <w:rPr>
                <w:b w:val="0"/>
                <w:sz w:val="24"/>
                <w:szCs w:val="24"/>
              </w:rPr>
              <w:t xml:space="preserve">МБУ ДО ДООЦ «Родничок»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shd w:val="clear" w:color="auto" w:fill="ffff00"/>
                <w:lang w:eastAsia="ru-RU"/>
              </w:rPr>
            </w:r>
          </w:p>
        </w:tc>
        <w:tc>
          <w:tcPr>
            <w:tcW w:w="643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ru-RU" w:eastAsia="ru-RU" w:bidi="ar-SA"/>
              </w:rPr>
              <w:t xml:space="preserve">В отношении проекта планируется проведение проверки эффективности использования средств бюджета округа, после получения заключения и выделения субсидии из бюджета округа, будут проведены конкурсные процедуры.</w:t>
            </w:r>
          </w:p>
        </w:tc>
      </w:tr>
      <w:tr>
        <w:trPr>
          <w:trHeight w:val="1814"/>
        </w:trPr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«Разработка проектно – сметной документации по объекту: «Строительство школы на 250 мест по адресу: г. Светлоград, ул. Кисличанская, 90» и сопровождение при проведении государственной экспертизы»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auto"/>
                <w:lang w:eastAsia="ru-RU"/>
              </w:rPr>
              <w:t xml:space="preserve">Стоимость проекта 255,54 млн. руб.</w:t>
            </w:r>
          </w:p>
        </w:tc>
        <w:tc>
          <w:tcPr>
            <w:tcW w:w="3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Отдел образования администрации Петровского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ru-RU" w:eastAsia="ru-RU" w:bidi="ar-SA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 округа Ставропольского края, МКОУ СОШ №7</w:t>
            </w:r>
          </w:p>
        </w:tc>
        <w:tc>
          <w:tcPr>
            <w:tcW w:w="643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0" w:after="20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Заказчиком ведется сбор коммерческих предложений.</w:t>
            </w:r>
          </w:p>
        </w:tc>
      </w:tr>
      <w:tr>
        <w:trPr>
          <w:trHeight w:val="335"/>
        </w:trPr>
        <w:tc>
          <w:tcPr>
            <w:tcW w:w="15045" w:type="dxa"/>
            <w:gridSpan w:val="1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0"/>
                <w:ilvl w:val="0"/>
              </w:numPr>
              <w:spacing w:before="0" w:after="0" w:line="240" w:lineRule="auto"/>
              <w:ind w:left="786" w:righ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</w:t>
            </w:r>
          </w:p>
        </w:tc>
      </w:tr>
      <w:tr>
        <w:trPr>
          <w:trHeight w:val="2330"/>
        </w:trPr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r>
          </w:p>
        </w:tc>
        <w:tc>
          <w:tcPr>
            <w:tcW w:w="4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Реконструкция стадиона МКУ «Светлоградский городской стадион» Петровского городского округа Ставропольского края», расположенного по адресу: 356530, Ставропольский край, Петровский городской округ, г. Светлоград, пл. Выставочная, 60»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 xml:space="preserve">Стоимость проекта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auto"/>
                <w:lang w:eastAsia="ru-RU"/>
              </w:rPr>
              <w:t xml:space="preserve">237,91 млн. рублей</w:t>
            </w:r>
          </w:p>
        </w:tc>
        <w:tc>
          <w:tcPr>
            <w:tcW w:w="3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Отдел физической культуры и спорта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bidi="ar-SA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дминистрации Петровского муниципального округа Ставропольского края</w:t>
            </w:r>
          </w:p>
        </w:tc>
        <w:tc>
          <w:tcPr>
            <w:tcW w:w="643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0" w:after="200" w:line="240" w:lineRule="auto"/>
              <w:jc w:val="both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Заключен муниципальный контракт с ООО «Альянс — строй» 21 марта 2024 года. Ведутся демонтажные работы.</w:t>
            </w:r>
          </w:p>
        </w:tc>
      </w:tr>
      <w:tr>
        <w:trPr>
          <w:trHeight w:val="450"/>
        </w:trPr>
        <w:tc>
          <w:tcPr>
            <w:tcW w:w="15045" w:type="dxa"/>
            <w:gridSpan w:val="1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0"/>
                <w:ilvl w:val="0"/>
              </w:numPr>
              <w:spacing w:before="0" w:after="0" w:line="240" w:lineRule="auto"/>
              <w:ind w:left="786" w:righ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 xml:space="preserve">Благоустройство</w:t>
            </w:r>
          </w:p>
        </w:tc>
      </w:tr>
      <w:tr>
        <w:trPr>
          <w:trHeight w:val="1812"/>
        </w:trPr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bidi="ar-SA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лагоустройство сквера им. Ю.А. Гагарина по улице Николаенко города Светлограда»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 xml:space="preserve">Стоимость проекта 77,51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auto"/>
                <w:lang w:eastAsia="ru-RU"/>
              </w:rPr>
              <w:t xml:space="preserve">млн. рублей</w:t>
            </w:r>
          </w:p>
        </w:tc>
        <w:tc>
          <w:tcPr>
            <w:tcW w:w="3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Управление муниципальн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хозяйств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администрации Петровского муниципального округа Ставропольского края</w:t>
            </w:r>
          </w:p>
        </w:tc>
        <w:tc>
          <w:tcPr>
            <w:tcW w:w="643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/>
              <w:shd w:val="clear" w:color="auto" w:fill="ffffff"/>
              <w:spacing w:before="0" w:after="200" w:line="240" w:lineRule="auto"/>
              <w:ind w:left="0" w:right="283" w:firstLine="0"/>
              <w:jc w:val="both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Муниципальный контракт с ИП Ляшко С.С. заключен 21 ноября 2023 года. Подрядчик не приступил к выполнению работ в соответствии с графиком. Заказчиком принято решение расторгнуть контракт в одностороннем порядке 27.03.2024 года</w:t>
            </w:r>
          </w:p>
        </w:tc>
      </w:tr>
      <w:tr>
        <w:trPr>
          <w:trHeight w:val="1985"/>
        </w:trPr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Благоустройство парка по улице Советская села Благодатное»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 xml:space="preserve">Стоимость проекта 24,40 млн. рублей</w:t>
            </w:r>
          </w:p>
        </w:tc>
        <w:tc>
          <w:tcPr>
            <w:tcW w:w="3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Управление муниципальн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хозяйств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администрации Петровского муниципального округа Ставропольского края</w:t>
            </w:r>
          </w:p>
        </w:tc>
        <w:tc>
          <w:tcPr>
            <w:tcW w:w="643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Управлением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по делам территорий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администрации Петровского муниципального округа Ставропольского края временно передан данный участок в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правление муниципальн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хозяйств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eastAsia="zh-CN" w:bidi="ar-SA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администрации Петровского муниципального округа Ставропольского края, контракт с подрядчиком ООО «Технотрейд С» заключен 22 ноября 2023 года, ведутся работы.</w:t>
            </w:r>
          </w:p>
        </w:tc>
      </w:tr>
      <w:tr>
        <w:trPr>
          <w:trHeight w:val="636"/>
        </w:trPr>
        <w:tc>
          <w:tcPr>
            <w:tcW w:w="15045" w:type="dxa"/>
            <w:gridSpan w:val="1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spacing w:before="0" w:after="0" w:line="240" w:lineRule="auto"/>
              <w:ind w:left="0" w:righ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ресторанов и услуг по доставке продуктов питания</w:t>
            </w:r>
          </w:p>
        </w:tc>
      </w:tr>
      <w:tr>
        <w:trPr>
          <w:trHeight w:val="899"/>
        </w:trPr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комплекса объектов по обеспечению дорожного сервиса»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192,64 млн. рублей.</w:t>
            </w:r>
          </w:p>
        </w:tc>
        <w:tc>
          <w:tcPr>
            <w:tcW w:w="3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Таранушенко Сергей Анатольевич</w:t>
            </w:r>
          </w:p>
        </w:tc>
        <w:tc>
          <w:tcPr>
            <w:tcW w:w="643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 w:line="283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переводу земель завершены. Изменена категория земель. Начата подготовка градостроительного плана и получения разрешения на строительство.</w:t>
            </w:r>
          </w:p>
        </w:tc>
      </w:tr>
    </w:tbl>
    <w:sectPr>
      <w:footnotePr>
        <w:numFmt w:val="decimal"/>
        <w:numRestart w:val="continuous"/>
      </w:footnotePr>
      <w:endnotePr>
        <w:numFmt w:val="lowerRoman"/>
      </w:endnotePr>
      <w:type w:val="nextPage"/>
      <w:pgSz w:w="16838" w:h="11906" w:orient="landscape"/>
      <w:pgMar w:top="1701" w:right="992" w:bottom="851" w:left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SimSun">
    <w:panose1 w:val="0200050600000002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2" w:leader="none"/>
        </w:tabs>
        <w:ind w:left="786" w:hanging="360"/>
      </w:pPr>
      <w:rPr>
        <w:b w:val="0"/>
      </w:rPr>
    </w:lvl>
    <w:lvl w:ilvl="1">
      <w:start w:val="1"/>
      <w:numFmt w:val="lowerLetter"/>
      <w:suff w:val="tab"/>
      <w:lvlText w:val="%1.%2."/>
      <w:lvlJc w:val="left"/>
      <w:pPr>
        <w:pStyle w:val="Normal"/>
        <w:tabs>
          <w:tab w:val="num" w:pos="34" w:leader="none"/>
        </w:tabs>
        <w:ind w:left="1114" w:hanging="360"/>
      </w:pPr>
    </w:lvl>
    <w:lvl w:ilvl="2">
      <w:start w:val="1"/>
      <w:numFmt w:val="lowerRoman"/>
      <w:suff w:val="tab"/>
      <w:lvlText w:val="%2.%3."/>
      <w:lvlJc w:val="right"/>
      <w:pPr>
        <w:pStyle w:val="Normal"/>
        <w:tabs>
          <w:tab w:val="num" w:pos="34" w:leader="none"/>
        </w:tabs>
        <w:ind w:left="1834" w:hanging="180"/>
      </w:pPr>
    </w:lvl>
    <w:lvl w:ilvl="3">
      <w:start w:val="1"/>
      <w:numFmt w:val="decimal"/>
      <w:suff w:val="tab"/>
      <w:lvlText w:val="%3.%4."/>
      <w:lvlJc w:val="left"/>
      <w:pPr>
        <w:pStyle w:val="Normal"/>
        <w:tabs>
          <w:tab w:val="num" w:pos="34" w:leader="none"/>
        </w:tabs>
        <w:ind w:left="2554" w:hanging="360"/>
      </w:pPr>
    </w:lvl>
    <w:lvl w:ilvl="4">
      <w:start w:val="1"/>
      <w:numFmt w:val="lowerLetter"/>
      <w:suff w:val="tab"/>
      <w:lvlText w:val="%4.%5."/>
      <w:lvlJc w:val="left"/>
      <w:pPr>
        <w:pStyle w:val="Normal"/>
        <w:tabs>
          <w:tab w:val="num" w:pos="34" w:leader="none"/>
        </w:tabs>
        <w:ind w:left="3274" w:hanging="360"/>
      </w:pPr>
    </w:lvl>
    <w:lvl w:ilvl="5">
      <w:start w:val="1"/>
      <w:numFmt w:val="lowerRoman"/>
      <w:suff w:val="tab"/>
      <w:lvlText w:val="%5.%6."/>
      <w:lvlJc w:val="right"/>
      <w:pPr>
        <w:pStyle w:val="Normal"/>
        <w:tabs>
          <w:tab w:val="num" w:pos="34" w:leader="none"/>
        </w:tabs>
        <w:ind w:left="3994" w:hanging="180"/>
      </w:pPr>
    </w:lvl>
    <w:lvl w:ilvl="6">
      <w:start w:val="1"/>
      <w:numFmt w:val="decimal"/>
      <w:suff w:val="tab"/>
      <w:lvlText w:val="%6.%7."/>
      <w:lvlJc w:val="left"/>
      <w:pPr>
        <w:pStyle w:val="Normal"/>
        <w:tabs>
          <w:tab w:val="num" w:pos="34" w:leader="none"/>
        </w:tabs>
        <w:ind w:left="4714" w:hanging="360"/>
      </w:pPr>
    </w:lvl>
    <w:lvl w:ilvl="7">
      <w:start w:val="1"/>
      <w:numFmt w:val="lowerLetter"/>
      <w:suff w:val="tab"/>
      <w:lvlText w:val="%7.%8."/>
      <w:lvlJc w:val="left"/>
      <w:pPr>
        <w:pStyle w:val="Normal"/>
        <w:tabs>
          <w:tab w:val="num" w:pos="34" w:leader="none"/>
        </w:tabs>
        <w:ind w:left="5434" w:hanging="360"/>
      </w:pPr>
    </w:lvl>
    <w:lvl w:ilvl="8">
      <w:start w:val="1"/>
      <w:numFmt w:val="lowerRoman"/>
      <w:suff w:val="tab"/>
      <w:lvlText w:val="%8.%9."/>
      <w:lvlJc w:val="right"/>
      <w:pPr>
        <w:pStyle w:val="Normal"/>
        <w:tabs>
          <w:tab w:val="num" w:pos="34" w:leader="none"/>
        </w:tabs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  <w:spacing w:before="0" w:after="200" w:line="276" w:lineRule="auto"/>
    </w:pPr>
    <w:rPr>
      <w:rFonts w:ascii="Calibri" w:hAnsi="Calibri" w:eastAsia="SimSun" w:cs="Arial"/>
      <w:color w:val="auto"/>
      <w:sz w:val="22"/>
      <w:szCs w:val="22"/>
      <w:lang w:val="ru-RU" w:eastAsia="zh-CN" w:bidi="ar-SA"/>
    </w:rPr>
  </w:style>
  <w:style w:type="paragraph" w:styleId="Heading1">
    <w:name w:val="Заголовок 1"/>
    <w:basedOn w:val="Normal"/>
    <w:next w:val="BodyText"/>
    <w:pPr>
      <w:numPr>
        <w:numId w:val="1"/>
        <w:ilvl w:val="0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Heading2">
    <w:name w:val="Заголовок 2"/>
    <w:basedOn w:val="UserStyle_0"/>
    <w:next w:val="BodyText"/>
    <w:link w:val="Normal"/>
    <w:pPr>
      <w:numPr>
        <w:numId w:val="1"/>
        <w:ilvl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UserStyle_1">
    <w:name w:val="WW8Num1z0"/>
    <w:next w:val="UserStyle_1"/>
    <w:link w:val="Normal"/>
  </w:style>
  <w:style w:type="character" w:styleId="UserStyle_2">
    <w:name w:val="WW8Num1z1"/>
    <w:next w:val="UserStyle_2"/>
    <w:link w:val="Normal"/>
  </w:style>
  <w:style w:type="character" w:styleId="UserStyle_3">
    <w:name w:val="WW8Num1z2"/>
    <w:next w:val="UserStyle_3"/>
    <w:link w:val="Normal"/>
  </w:style>
  <w:style w:type="character" w:styleId="UserStyle_4">
    <w:name w:val="WW8Num1z3"/>
    <w:next w:val="UserStyle_4"/>
    <w:link w:val="Normal"/>
  </w:style>
  <w:style w:type="character" w:styleId="UserStyle_5">
    <w:name w:val="WW8Num1z4"/>
    <w:next w:val="UserStyle_5"/>
    <w:link w:val="Normal"/>
  </w:style>
  <w:style w:type="character" w:styleId="UserStyle_6">
    <w:name w:val="WW8Num1z5"/>
    <w:next w:val="UserStyle_6"/>
    <w:link w:val="Normal"/>
  </w:style>
  <w:style w:type="character" w:styleId="UserStyle_7">
    <w:name w:val="WW8Num1z6"/>
    <w:next w:val="UserStyle_7"/>
    <w:link w:val="Normal"/>
  </w:style>
  <w:style w:type="character" w:styleId="UserStyle_8">
    <w:name w:val="WW8Num1z7"/>
    <w:next w:val="UserStyle_8"/>
    <w:link w:val="Normal"/>
  </w:style>
  <w:style w:type="character" w:styleId="UserStyle_9">
    <w:name w:val="WW8Num1z8"/>
    <w:next w:val="UserStyle_9"/>
    <w:link w:val="Normal"/>
  </w:style>
  <w:style w:type="character" w:styleId="UserStyle_10">
    <w:name w:val="WW8Num2z0"/>
    <w:next w:val="UserStyle_10"/>
    <w:link w:val="Normal"/>
    <w:rPr>
      <w:b w:val="0"/>
    </w:rPr>
  </w:style>
  <w:style w:type="character" w:styleId="UserStyle_11">
    <w:name w:val="WW8Num2z1"/>
    <w:next w:val="UserStyle_11"/>
    <w:link w:val="Normal"/>
  </w:style>
  <w:style w:type="character" w:styleId="UserStyle_12">
    <w:name w:val="WW8Num2z2"/>
    <w:next w:val="UserStyle_12"/>
    <w:link w:val="Normal"/>
  </w:style>
  <w:style w:type="character" w:styleId="UserStyle_13">
    <w:name w:val="WW8Num2z3"/>
    <w:next w:val="UserStyle_13"/>
    <w:link w:val="Normal"/>
  </w:style>
  <w:style w:type="character" w:styleId="UserStyle_14">
    <w:name w:val="WW8Num2z4"/>
    <w:next w:val="UserStyle_14"/>
    <w:link w:val="Normal"/>
  </w:style>
  <w:style w:type="character" w:styleId="UserStyle_15">
    <w:name w:val="WW8Num2z5"/>
    <w:next w:val="UserStyle_15"/>
    <w:link w:val="Normal"/>
  </w:style>
  <w:style w:type="character" w:styleId="UserStyle_16">
    <w:name w:val="WW8Num2z6"/>
    <w:next w:val="UserStyle_16"/>
    <w:link w:val="Normal"/>
  </w:style>
  <w:style w:type="character" w:styleId="UserStyle_17">
    <w:name w:val="WW8Num2z7"/>
    <w:next w:val="UserStyle_17"/>
    <w:link w:val="Normal"/>
  </w:style>
  <w:style w:type="character" w:styleId="UserStyle_18">
    <w:name w:val="WW8Num2z8"/>
    <w:next w:val="UserStyle_18"/>
    <w:link w:val="Normal"/>
  </w:style>
  <w:style w:type="character" w:styleId="UserStyle_19">
    <w:name w:val="Основной шрифт абзаца"/>
    <w:next w:val="UserStyle_19"/>
    <w:link w:val="Normal"/>
  </w:style>
  <w:style w:type="character" w:styleId="UserStyle_20">
    <w:name w:val="No Spacing Char"/>
    <w:next w:val="UserStyle_20"/>
    <w:link w:val="Normal"/>
    <w:rPr>
      <w:rFonts w:eastAsia="Times New Roman" w:cs="Times New Roman"/>
      <w:sz w:val="22"/>
      <w:szCs w:val="22"/>
      <w:lang w:val="ru-RU" w:bidi="ar-SA"/>
    </w:rPr>
  </w:style>
  <w:style w:type="character" w:styleId="Strong">
    <w:name w:val="Выделение жирным"/>
    <w:next w:val="Strong"/>
    <w:link w:val="Normal"/>
    <w:rPr>
      <w:b/>
      <w:bCs/>
    </w:rPr>
  </w:style>
  <w:style w:type="character" w:styleId="Hyperlink">
    <w:name w:val="Интернет-ссылка"/>
    <w:next w:val="Hyperlink"/>
    <w:link w:val="Normal"/>
    <w:rPr>
      <w:color w:val="0000ff"/>
      <w:u w:val="single"/>
    </w:rPr>
  </w:style>
  <w:style w:type="character" w:styleId="FollowedHyperlink">
    <w:name w:val="Посещённая гиперссылка"/>
    <w:next w:val="FollowedHyperlink"/>
    <w:link w:val="Normal"/>
    <w:rPr>
      <w:color w:val="800080"/>
      <w:u w:val="single"/>
    </w:rPr>
  </w:style>
  <w:style w:type="character" w:styleId="UserStyle_21">
    <w:name w:val="Текст выноски Знак"/>
    <w:next w:val="UserStyle_21"/>
    <w:link w:val="Normal"/>
    <w:rPr>
      <w:rFonts w:ascii="Tahoma" w:hAnsi="Tahoma" w:cs="Tahoma"/>
      <w:sz w:val="16"/>
      <w:szCs w:val="16"/>
    </w:rPr>
  </w:style>
  <w:style w:type="character" w:styleId="UserStyle_22">
    <w:name w:val="Default Paragraph Font"/>
    <w:next w:val="UserStyle_22"/>
    <w:link w:val="Normal"/>
  </w:style>
  <w:style w:type="character" w:styleId="UserStyle_23">
    <w:name w:val="Основной текст Знак"/>
    <w:basedOn w:val="UserStyle_22"/>
    <w:next w:val="UserStyle_23"/>
    <w:link w:val="Normal"/>
    <w:rPr>
      <w:rFonts w:ascii="Arial" w:hAnsi="Arial" w:eastAsia="Arial" w:cs="Arial"/>
      <w:sz w:val="28"/>
      <w:szCs w:val="28"/>
      <w:lang w:eastAsia="ru-RU"/>
    </w:rPr>
  </w:style>
  <w:style w:type="paragraph" w:styleId="UserStyle_0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4">
    <w:name w:val="Указатель"/>
    <w:basedOn w:val="Normal"/>
    <w:next w:val="UserStyle_24"/>
    <w:link w:val="Normal"/>
    <w:pPr>
      <w:suppressLineNumbers/>
    </w:pPr>
    <w:rPr>
      <w:rFonts w:cs="Droid Sans Devanagari"/>
    </w:rPr>
  </w:style>
  <w:style w:type="paragraph" w:styleId="UserStyle_25">
    <w:name w:val="Caption1"/>
    <w:basedOn w:val="Normal"/>
    <w:next w:val="UserStyle_2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Заголовок указателя"/>
    <w:basedOn w:val="Normal"/>
    <w:next w:val="IndexHeading"/>
    <w:link w:val="Normal"/>
    <w:pPr>
      <w:suppressLineNumbers/>
    </w:pPr>
    <w:rPr>
      <w:rFonts w:cs="Droid Sans Devanagari"/>
    </w:rPr>
  </w:style>
  <w:style w:type="paragraph" w:styleId="UserStyle_26">
    <w:name w:val="No Spacing1"/>
    <w:next w:val="UserStyle_26"/>
    <w:link w:val="Normal"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UserStyle_27">
    <w:name w:val="Абзац списка"/>
    <w:basedOn w:val="Normal"/>
    <w:next w:val="UserStyle_27"/>
    <w:link w:val="Normal"/>
    <w:pPr>
      <w:spacing w:before="0" w:after="200"/>
      <w:ind w:left="720" w:right="0" w:firstLine="0"/>
      <w:contextualSpacing/>
    </w:pPr>
  </w:style>
  <w:style w:type="paragraph" w:styleId="UserStyle_28">
    <w:name w:val="Текст выноски"/>
    <w:basedOn w:val="Normal"/>
    <w:next w:val="UserStyle_28"/>
    <w:link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UserStyle_29">
    <w:name w:val="Обычный (веб)"/>
    <w:basedOn w:val="Normal"/>
    <w:next w:val="UserStyle_29"/>
    <w:link w:val="Normal"/>
    <w:pPr>
      <w:spacing w:before="280" w:after="142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UserStyle_30">
    <w:name w:val="Содержимое таблицы"/>
    <w:basedOn w:val="Normal"/>
    <w:next w:val="UserStyle_30"/>
    <w:link w:val="Normal"/>
    <w:pPr>
      <w:widowControl w:val="off"/>
      <w:suppressLineNumbers/>
    </w:pPr>
  </w:style>
  <w:style w:type="paragraph" w:styleId="UserStyle_31">
    <w:name w:val="Заголовок таблицы"/>
    <w:basedOn w:val="UserStyle_30"/>
    <w:next w:val="UserStyle_31"/>
    <w:link w:val="Normal"/>
    <w:pPr>
      <w:suppressLineNumbers/>
      <w:jc w:val="center"/>
    </w:pPr>
    <w:rPr>
      <w:b/>
      <w:bCs/>
    </w:rPr>
  </w:style>
  <w:style w:type="paragraph" w:styleId="UserStyle_32">
    <w:name w:val="Без интервала"/>
    <w:next w:val="UserStyle_32"/>
    <w:link w:val="Normal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UserStyle_33">
    <w:name w:val="Normal Table"/>
    <w:next w:val="UserStyle_33"/>
    <w:link w:val="Normal"/>
    <w:pPr>
      <w:widowControl w:val="off"/>
      <w:jc w:val="left"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revision>138</cp:revision>
  <dcterms:created xsi:type="dcterms:W3CDTF">2022-01-14T13:21:00Z</dcterms:created>
  <dcterms:modified xsi:type="dcterms:W3CDTF">2024-04-11T11:31:00Z</dcterms:modified>
</cp:coreProperties>
</file>