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569"/>
        <w:gridCol w:w="4965"/>
        <w:gridCol w:w="34"/>
        <w:gridCol w:w="2762"/>
        <w:gridCol w:w="5798"/>
        <w:gridCol w:w="160"/>
        <w:gridCol w:w="1129"/>
      </w:tblGrid>
      <w:tr w:rsidR="008C7CED" w:rsidTr="008C7CED">
        <w:trPr>
          <w:gridAfter w:val="2"/>
          <w:wAfter w:w="1289" w:type="dxa"/>
          <w:trHeight w:val="375"/>
        </w:trPr>
        <w:tc>
          <w:tcPr>
            <w:tcW w:w="14128" w:type="dxa"/>
            <w:gridSpan w:val="5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7CED" w:rsidRDefault="008C7CE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</w:t>
            </w:r>
          </w:p>
          <w:p w:rsidR="008C7CED" w:rsidRDefault="008C7CE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реализации инвестиционных проектов на территории Петровского городского округа Ставропольского края </w:t>
            </w:r>
          </w:p>
          <w:p w:rsidR="008C7CED" w:rsidRDefault="008C7C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состоянию на 01.07.2024 года</w:t>
            </w:r>
          </w:p>
          <w:p w:rsidR="008C7CED" w:rsidRDefault="008C7CED">
            <w:pPr>
              <w:widowControl w:val="0"/>
              <w:spacing w:after="0" w:line="240" w:lineRule="auto"/>
              <w:jc w:val="center"/>
            </w:pPr>
          </w:p>
        </w:tc>
      </w:tr>
      <w:tr w:rsidR="008C7CED" w:rsidTr="008C7CED">
        <w:trPr>
          <w:gridAfter w:val="1"/>
          <w:wAfter w:w="1129" w:type="dxa"/>
          <w:trHeight w:val="375"/>
        </w:trPr>
        <w:tc>
          <w:tcPr>
            <w:tcW w:w="14288" w:type="dxa"/>
            <w:gridSpan w:val="6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7CED" w:rsidRDefault="008C7C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817" w:rsidTr="008C7CED">
        <w:trPr>
          <w:trHeight w:val="2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17" w:rsidRDefault="00AD1AF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17" w:rsidRDefault="00AD1AF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17" w:rsidRDefault="00AD1AF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Инициатор инвестиционного проекта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17" w:rsidRDefault="00AD1AF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</w:t>
            </w:r>
          </w:p>
        </w:tc>
      </w:tr>
      <w:tr w:rsidR="00CC2817" w:rsidTr="008C7CED">
        <w:trPr>
          <w:trHeight w:val="144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17" w:rsidRDefault="00AD1AF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Сельскохозяйственное производство</w:t>
            </w:r>
          </w:p>
        </w:tc>
      </w:tr>
      <w:tr w:rsidR="00CC2817" w:rsidTr="008C7CED">
        <w:trPr>
          <w:trHeight w:val="136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CC2817">
            <w:pPr>
              <w:pStyle w:val="ad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AD1A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Оросительная система на землях ООО "Агропромышленная корпорация" Петровского муниципального округа Ставропольского края 1 этап.</w:t>
            </w:r>
          </w:p>
          <w:p w:rsidR="00CC2817" w:rsidRDefault="00AD1A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проекта 416,40 млн. рублей.</w:t>
            </w:r>
          </w:p>
          <w:p w:rsidR="00CC2817" w:rsidRDefault="00CC2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AD1A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«Агропромышленная корпорация»</w:t>
            </w:r>
          </w:p>
          <w:p w:rsidR="00CC2817" w:rsidRDefault="00CC2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8C7CED" w:rsidP="008C7CED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CED">
              <w:rPr>
                <w:rFonts w:ascii="Times New Roman" w:hAnsi="Times New Roman" w:cs="Times New Roman"/>
                <w:sz w:val="24"/>
                <w:szCs w:val="24"/>
              </w:rPr>
              <w:t>Завершены проектно-изыскательские работы, заключен договор об осуществлении технологического присоединения к электрическим сетям. Завершен выбор поставщиков дождевальных машин и оборудования. Проектная документация направлена на проверку в государственную экспертизу в Автономное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чреждение Ставропольского края «</w:t>
            </w:r>
            <w:r w:rsidRPr="008C7CED">
              <w:rPr>
                <w:rFonts w:ascii="Times New Roman" w:hAnsi="Times New Roman" w:cs="Times New Roman"/>
                <w:sz w:val="24"/>
                <w:szCs w:val="24"/>
              </w:rPr>
              <w:t>Государственная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в сфере строительства»</w:t>
            </w:r>
          </w:p>
          <w:p w:rsidR="008C7CED" w:rsidRDefault="008C7CED" w:rsidP="008C7CED">
            <w:pPr>
              <w:pStyle w:val="a0"/>
              <w:spacing w:after="0" w:line="240" w:lineRule="auto"/>
              <w:jc w:val="both"/>
            </w:pPr>
          </w:p>
        </w:tc>
      </w:tr>
      <w:tr w:rsidR="00CC2817" w:rsidTr="008C7CED">
        <w:trPr>
          <w:trHeight w:val="12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CC2817">
            <w:pPr>
              <w:pStyle w:val="ad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AD1A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овощного комплекса по производству, переработке и хранению картофеля (Строительство 4,5 корпусов овощехранилища навального типа) с. Гофицкое.</w:t>
            </w:r>
          </w:p>
          <w:p w:rsidR="00CC2817" w:rsidRDefault="00AD1A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Стоимость проекта 662,51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AD1A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Иррико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-Холдинг»</w:t>
            </w:r>
          </w:p>
        </w:tc>
        <w:tc>
          <w:tcPr>
            <w:tcW w:w="70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8C7CED">
            <w:pPr>
              <w:pStyle w:val="a0"/>
              <w:widowControl w:val="0"/>
              <w:spacing w:after="0" w:line="283" w:lineRule="exact"/>
              <w:jc w:val="both"/>
            </w:pPr>
            <w:r w:rsidRPr="008C7CED">
              <w:rPr>
                <w:rFonts w:ascii="Times New Roman" w:hAnsi="Times New Roman" w:cs="Times New Roman"/>
                <w:sz w:val="24"/>
                <w:szCs w:val="24"/>
              </w:rPr>
              <w:t>Построены 3 корпуса из 5 (2 корпуса картофелехранилищ мощностью хранения 300 тонн, 1 технологический корпус), закуплена вся необходимая техника, оборудование для оснащения корпусов закуплено для 1-3 корпусов.</w:t>
            </w:r>
          </w:p>
        </w:tc>
      </w:tr>
      <w:tr w:rsidR="00CC2817" w:rsidTr="008C7CED">
        <w:trPr>
          <w:trHeight w:val="144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AD1AF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Перерабатывающая промышленность</w:t>
            </w:r>
          </w:p>
        </w:tc>
      </w:tr>
      <w:tr w:rsidR="00CC2817" w:rsidTr="008C7CED">
        <w:trPr>
          <w:trHeight w:val="26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CC2817">
            <w:pPr>
              <w:pStyle w:val="ad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AD1A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производства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маслоэкстракционный завод»</w:t>
            </w:r>
          </w:p>
          <w:p w:rsidR="00CC2817" w:rsidRDefault="00AD1AF7" w:rsidP="008841C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проекта </w:t>
            </w:r>
            <w:r w:rsidR="008841C3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млн. рублей.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AD1A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маслоэкстракционный завод»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8C7CED">
            <w:pPr>
              <w:spacing w:after="0" w:line="240" w:lineRule="auto"/>
              <w:jc w:val="both"/>
            </w:pPr>
            <w:r w:rsidRPr="008C7CED">
              <w:rPr>
                <w:rFonts w:ascii="Times New Roman" w:hAnsi="Times New Roman" w:cs="Times New Roman"/>
                <w:sz w:val="24"/>
                <w:szCs w:val="24"/>
              </w:rPr>
              <w:t>Сделана предоплата за оборудование, ведутся подготовительные работы. Основные работы запланированы на август 2024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AF7">
              <w:rPr>
                <w:rFonts w:ascii="Times New Roman" w:hAnsi="Times New Roman" w:cs="Times New Roman"/>
                <w:sz w:val="24"/>
                <w:szCs w:val="24"/>
              </w:rPr>
              <w:t>Планируется к созданию 15 новых рабочих мест.</w:t>
            </w:r>
            <w:r w:rsidR="008841C3">
              <w:rPr>
                <w:rFonts w:ascii="Times New Roman" w:hAnsi="Times New Roman" w:cs="Times New Roman"/>
                <w:sz w:val="24"/>
                <w:szCs w:val="24"/>
              </w:rPr>
              <w:t xml:space="preserve"> Инициатор инвестиционного проекта произвел корректировку стоимости проекта в сторону уменьшения.</w:t>
            </w:r>
            <w:bookmarkStart w:id="0" w:name="_GoBack"/>
            <w:bookmarkEnd w:id="0"/>
          </w:p>
          <w:p w:rsidR="00CC2817" w:rsidRDefault="00CC2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17" w:rsidTr="008C7CED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CC2817">
            <w:pPr>
              <w:pStyle w:val="ad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AD1A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цеха по убою животных.</w:t>
            </w:r>
          </w:p>
          <w:p w:rsidR="00CC2817" w:rsidRDefault="00AD1A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  <w:p w:rsidR="00CC2817" w:rsidRDefault="00AD1A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проекта 21 млн. рублей.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AD1A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17" w:rsidRDefault="00AD1A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Изготовлена проектно-сметная документация по проекту. Подведена вода, электроэнергия, ведутся внутренние отделочные работы цеха, по всему периметру установлено ограждение.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Ведутся работы по благоустройству территории. Введены в эксплуатацию: котельная, пожарный резервуар и базы для карантинного отделения и изолятор,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предубойный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изолятор. Приобретены автотранспортные средства для перевозки животных. Запланирована установка нового оборудования для безотходного убоя и переработки сельскохозяйственных животных. Ведутся сварочные работы по газификации здания бойни, щебеночному ремонту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примыкающей к предприятию. Прорабатывается вопрос получения дополнительного финансирования для завершения проекта. Инвестиционный проект реализован на 90%. Завершение проекта планируется в 3 квартале 2024 года. Планируется к созданию 20 рабочих мест, создано 1 рабочее место.</w:t>
            </w:r>
          </w:p>
          <w:p w:rsidR="00CC2817" w:rsidRDefault="00CC2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17" w:rsidTr="008C7CED">
        <w:trPr>
          <w:trHeight w:val="34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CC2817">
            <w:pPr>
              <w:pStyle w:val="ad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AD1A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производственного оборудования в цех по производству мясных консервов.</w:t>
            </w:r>
          </w:p>
          <w:p w:rsidR="00CC2817" w:rsidRDefault="00AD1A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проекта 0,988 млн. рублей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AD1A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Ткаченко Е.В.</w:t>
            </w:r>
          </w:p>
        </w:tc>
        <w:tc>
          <w:tcPr>
            <w:tcW w:w="70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918" w:rsidRDefault="00B220E6" w:rsidP="00950D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Приобретено производственное оборудование: </w:t>
            </w:r>
          </w:p>
          <w:p w:rsidR="00B220E6" w:rsidRDefault="00B220E6" w:rsidP="00950D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устройство закаточное настольное;</w:t>
            </w:r>
          </w:p>
          <w:p w:rsidR="00B220E6" w:rsidRDefault="00B220E6" w:rsidP="00950D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весы;</w:t>
            </w:r>
          </w:p>
          <w:p w:rsidR="00B220E6" w:rsidRDefault="00B220E6" w:rsidP="00950D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каплеструйный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автоматический; </w:t>
            </w:r>
          </w:p>
          <w:p w:rsidR="00B220E6" w:rsidRDefault="00B220E6" w:rsidP="00950D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конвейер для маркировки.</w:t>
            </w:r>
          </w:p>
          <w:p w:rsidR="00CC2817" w:rsidRDefault="00B220E6" w:rsidP="00950D4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7CED">
              <w:rPr>
                <w:rFonts w:ascii="Times New Roman" w:hAnsi="Times New Roman" w:cs="Times New Roman"/>
                <w:sz w:val="24"/>
                <w:szCs w:val="24"/>
              </w:rPr>
              <w:t>оздано 3</w:t>
            </w:r>
            <w:r w:rsidR="00AD1AF7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места.</w:t>
            </w:r>
          </w:p>
        </w:tc>
      </w:tr>
      <w:tr w:rsidR="00CC2817" w:rsidTr="008C7CED">
        <w:trPr>
          <w:trHeight w:val="144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AD1AF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электроэнергии, сбор, обработка и утилизация отходов; обработка вторичного сырья</w:t>
            </w:r>
          </w:p>
        </w:tc>
      </w:tr>
      <w:tr w:rsidR="00CC2817" w:rsidTr="008C7CED">
        <w:trPr>
          <w:trHeight w:val="270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AD1AF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</w:t>
            </w:r>
          </w:p>
        </w:tc>
      </w:tr>
      <w:tr w:rsidR="00CC2817" w:rsidTr="008C7CED">
        <w:trPr>
          <w:trHeight w:val="144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AD1AF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Аренда и управление собственным или арендованным нежилым недвижимым имуществом</w:t>
            </w:r>
          </w:p>
        </w:tc>
      </w:tr>
      <w:tr w:rsidR="00CC2817" w:rsidTr="008C7CED">
        <w:trPr>
          <w:trHeight w:val="150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AD1AF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CC2817" w:rsidTr="008C7CED">
        <w:trPr>
          <w:trHeight w:val="2547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CC2817">
            <w:pPr>
              <w:pStyle w:val="ad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AD1A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«Корректировка проектно-сметной документации по объекту: «Реконструкция комплекса зданий и сооружений муниципального бюджетного учреждения дополнительного образования «Детский оздоровительно – образовательный (профильный) центр «Родничок» в с. Гофицкое, ул. Виноградная, 1А, 1Б» и сопровождение при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экспертизы»</w:t>
            </w:r>
          </w:p>
          <w:p w:rsidR="00CC2817" w:rsidRDefault="00AD1A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проекта 3,00 млн. руб.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AD1AF7">
            <w:pPr>
              <w:pStyle w:val="1"/>
              <w:spacing w:before="0"/>
            </w:pPr>
            <w:r>
              <w:rPr>
                <w:b w:val="0"/>
                <w:sz w:val="24"/>
                <w:szCs w:val="24"/>
              </w:rPr>
              <w:lastRenderedPageBreak/>
              <w:t>МБУ ДО ДООЦ «Родничок»</w:t>
            </w:r>
          </w:p>
          <w:p w:rsidR="00CC2817" w:rsidRDefault="00CC28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0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D43580" w:rsidP="00D4358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Разработана проектно-сметная документация для проведения реконструкции  МБУ ДО ДООЦ «Родничок», В настоящее время ведется  подготовка документации для заключения нового контракта по данному объекту на корректировку проектно-сметной документации, после чего документация будет направлена для проведения государственной экспертизы.</w:t>
            </w:r>
          </w:p>
        </w:tc>
      </w:tr>
      <w:tr w:rsidR="00CC2817" w:rsidTr="008C7CED">
        <w:trPr>
          <w:trHeight w:val="1814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CC2817">
            <w:pPr>
              <w:pStyle w:val="ad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AD1A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«Разработка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сметной документации по объекту: «Строительство школы на 250 мест по адресу: г. Светлоград,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90» и сопровождение при проведении государственной экспертизы»</w:t>
            </w:r>
          </w:p>
          <w:p w:rsidR="00CC2817" w:rsidRDefault="00AD1A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проекта 255,54 млн. руб.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AD1A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Петровского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Ставропольского края, МКОУ СОШ №7</w:t>
            </w:r>
          </w:p>
        </w:tc>
        <w:tc>
          <w:tcPr>
            <w:tcW w:w="70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D43580">
            <w:pPr>
              <w:shd w:val="clear" w:color="auto" w:fill="FFFFFF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бюджета округа выделено 7,0 млн. рублей для мероприятий по разработке проектно-сметной документации на снос и строительство нового здания МКОУ СОШ №7 г. Светлограда. Ведется подготовка конкурсной документации.</w:t>
            </w:r>
          </w:p>
        </w:tc>
      </w:tr>
      <w:tr w:rsidR="00CC2817" w:rsidTr="008C7CED">
        <w:trPr>
          <w:trHeight w:val="335"/>
        </w:trPr>
        <w:tc>
          <w:tcPr>
            <w:tcW w:w="1541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AD1AF7">
            <w:pPr>
              <w:pStyle w:val="ad"/>
              <w:widowControl w:val="0"/>
              <w:spacing w:after="0" w:line="240" w:lineRule="auto"/>
              <w:ind w:left="786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</w:p>
        </w:tc>
      </w:tr>
      <w:tr w:rsidR="00CC2817" w:rsidTr="00B15A30">
        <w:trPr>
          <w:trHeight w:val="84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CC2817">
            <w:pPr>
              <w:pStyle w:val="ad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4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AD1A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стадиона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стадион» Петровского городского округа Ставропольского края», расположенного по адресу: 356530, Ставропольский край, Петровский городской округ, г. Светлоград, пл. Выставочная, 60»</w:t>
            </w:r>
          </w:p>
          <w:p w:rsidR="00CC2817" w:rsidRDefault="00AD1A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Стоимость проекта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237,91 млн. рублей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AD1A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Петровского муниципального округа Ставропольского края</w:t>
            </w:r>
          </w:p>
        </w:tc>
        <w:tc>
          <w:tcPr>
            <w:tcW w:w="70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30" w:rsidRPr="00B15A30" w:rsidRDefault="00B15A30" w:rsidP="00B15A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январе 2024 года с министерством физической культуры и спорта Ставропольского края заключено соглашение о предоставлении бюджету округа  субсидии из бюджета Ставропольского края, включая субсидии, предоставляемые из федерального бюджета бюджету Ставропольского края в целях </w:t>
            </w:r>
            <w:proofErr w:type="spellStart"/>
            <w:r w:rsidRPr="00B1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B1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государственной программ РФ «Развитие физической культуры и спорта» для реализации проекта «Реконструкция стадиона МКУ «</w:t>
            </w:r>
            <w:proofErr w:type="spellStart"/>
            <w:r w:rsidRPr="00B1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Светлоградский</w:t>
            </w:r>
            <w:proofErr w:type="spellEnd"/>
            <w:r w:rsidRPr="00B1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стадион» Петровского городского округа Ставропольского края».</w:t>
            </w:r>
          </w:p>
          <w:p w:rsidR="00B15A30" w:rsidRPr="00B15A30" w:rsidRDefault="00B15A30" w:rsidP="00B15A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марта 2024 года по данному объекту заключен муниципальный контракт с ООО «</w:t>
            </w:r>
            <w:proofErr w:type="spellStart"/>
            <w:r w:rsidRPr="00B15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АльянсСтрой</w:t>
            </w:r>
            <w:proofErr w:type="spellEnd"/>
            <w:r w:rsidRPr="00B15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сумму 237,9 млн. рублей. Работы выполняются в соответствии с установленным графиком.</w:t>
            </w:r>
          </w:p>
          <w:p w:rsidR="00B15A30" w:rsidRPr="00B15A30" w:rsidRDefault="00B15A30" w:rsidP="00B15A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первом этапе графика выполнены следующие работы: демонтирована старая трибуна и </w:t>
            </w:r>
            <w:proofErr w:type="spellStart"/>
            <w:r w:rsidRPr="00B1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подтрибунные</w:t>
            </w:r>
            <w:proofErr w:type="spellEnd"/>
            <w:r w:rsidRPr="00B1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помещения, произведен демонтаж слаботочной сети. Окончен вывоз </w:t>
            </w:r>
            <w:r w:rsidRPr="00B1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строительного мусора, образовавшегося в результате демонтажа в объеме 1694,09 тонн. Произведена срезка грунта, в объеме 433 </w:t>
            </w:r>
            <w:r w:rsidRPr="00B15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 метров</w:t>
            </w:r>
            <w:r w:rsidRPr="00B1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Произведена разбивка осей.</w:t>
            </w:r>
          </w:p>
          <w:p w:rsidR="00B15A30" w:rsidRPr="00B15A30" w:rsidRDefault="00B15A30" w:rsidP="00B15A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втором этапе графика выполнены следующие работы: произведено рытье котлована, обесточивание силового кабеля электросети, выравнивание днища котлована и откосов, вывоз грунта в объеме 1855 куб. метров, замена части днища котлована скальной породой, устройство грунтовой подушки путём уплотнения грунта. Ведутся работы по обустройству фундаментных монолитных плит. Работы второго этапа продолжаются.</w:t>
            </w:r>
          </w:p>
          <w:p w:rsidR="00CC2817" w:rsidRPr="00B15A30" w:rsidRDefault="00CC2817" w:rsidP="00B15A30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2817" w:rsidTr="008C7CED">
        <w:trPr>
          <w:trHeight w:val="450"/>
        </w:trPr>
        <w:tc>
          <w:tcPr>
            <w:tcW w:w="1541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AD1AF7">
            <w:pPr>
              <w:pStyle w:val="ad"/>
              <w:widowControl w:val="0"/>
              <w:spacing w:after="0" w:line="240" w:lineRule="auto"/>
              <w:ind w:left="786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Благоустройство</w:t>
            </w:r>
          </w:p>
        </w:tc>
      </w:tr>
      <w:tr w:rsidR="00CC2817" w:rsidTr="008C7CED">
        <w:trPr>
          <w:trHeight w:val="1812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CC2817">
            <w:pPr>
              <w:pStyle w:val="ad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AD1A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лагоустройство сквера им. Ю.А. Гагарина по улице Николаенко города Светлограда»</w:t>
            </w:r>
          </w:p>
          <w:p w:rsidR="00CC2817" w:rsidRDefault="00AD1A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Стоимость проекта 77,51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AD1A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Петровского муниципального округа Ставропольского края</w:t>
            </w:r>
          </w:p>
        </w:tc>
        <w:tc>
          <w:tcPr>
            <w:tcW w:w="70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C4" w:rsidRDefault="00A238C4" w:rsidP="00A30FBB">
            <w:pPr>
              <w:shd w:val="clear" w:color="auto" w:fill="FFFFFF"/>
              <w:spacing w:line="240" w:lineRule="auto"/>
              <w:ind w:right="283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Произведена планировка земельного участка, идет устройство бортовых камней, </w:t>
            </w:r>
            <w:r w:rsidR="00A30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кабельных линий электроосвещения,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уклад</w:t>
            </w:r>
            <w:r w:rsidR="00A30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тротуарной плитки.</w:t>
            </w:r>
          </w:p>
        </w:tc>
      </w:tr>
      <w:tr w:rsidR="00CC2817" w:rsidTr="008C7CED">
        <w:trPr>
          <w:trHeight w:val="198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CC2817">
            <w:pPr>
              <w:pStyle w:val="ad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AD1A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парка по улице Советская села Благодатное»</w:t>
            </w:r>
          </w:p>
          <w:p w:rsidR="00CC2817" w:rsidRDefault="00AD1A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проекта 24,40 млн. рублей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AD1A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Петровского муниципального округа Ставропольского края</w:t>
            </w:r>
          </w:p>
        </w:tc>
        <w:tc>
          <w:tcPr>
            <w:tcW w:w="70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Pr="00F5785A" w:rsidRDefault="00AD1AF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делам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Петровского </w:t>
            </w:r>
            <w:r w:rsidRPr="00F5785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Ставропольского края временно передан данный участок в </w:t>
            </w:r>
            <w:r w:rsidRPr="00F57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5785A">
              <w:rPr>
                <w:rFonts w:ascii="Times New Roman" w:hAnsi="Times New Roman" w:cs="Times New Roman"/>
                <w:sz w:val="24"/>
                <w:szCs w:val="24"/>
              </w:rPr>
              <w:t>правление муниципальн</w:t>
            </w:r>
            <w:r w:rsidRPr="00F578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ого</w:t>
            </w:r>
            <w:r w:rsidRPr="00F5785A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</w:t>
            </w:r>
            <w:r w:rsidRPr="00F578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F578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Петровского муниципального округа Ставропольского края, контракт с подрядчиком ООО «</w:t>
            </w:r>
            <w:proofErr w:type="spellStart"/>
            <w:r w:rsidRPr="00F5785A">
              <w:rPr>
                <w:rFonts w:ascii="Times New Roman" w:hAnsi="Times New Roman" w:cs="Times New Roman"/>
                <w:sz w:val="24"/>
                <w:szCs w:val="24"/>
              </w:rPr>
              <w:t>Технотрейд</w:t>
            </w:r>
            <w:proofErr w:type="spellEnd"/>
            <w:r w:rsidRPr="00F5785A">
              <w:rPr>
                <w:rFonts w:ascii="Times New Roman" w:hAnsi="Times New Roman" w:cs="Times New Roman"/>
                <w:sz w:val="24"/>
                <w:szCs w:val="24"/>
              </w:rPr>
              <w:t xml:space="preserve"> С» закл</w:t>
            </w:r>
            <w:r w:rsidR="00F5785A" w:rsidRPr="00F5785A">
              <w:rPr>
                <w:rFonts w:ascii="Times New Roman" w:hAnsi="Times New Roman" w:cs="Times New Roman"/>
                <w:sz w:val="24"/>
                <w:szCs w:val="24"/>
              </w:rPr>
              <w:t>ючен 22 ноября 2023 года.</w:t>
            </w:r>
          </w:p>
          <w:p w:rsidR="00F5785A" w:rsidRDefault="00F5785A" w:rsidP="00F5785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F5785A">
              <w:rPr>
                <w:rFonts w:ascii="Times New Roman" w:hAnsi="Times New Roman" w:cs="Times New Roman"/>
                <w:sz w:val="24"/>
                <w:szCs w:val="24"/>
              </w:rPr>
              <w:t>Выполнено: 100% демонтаж, 100 % установка бордюров, 100 % подготовка под брусчатку, подготовка под асфальт 100 %, укладка кабеля 100 %, установка ограждения 100 %, установка закладных 100 %, укладка брусчатки 90 %, установлены лавочки и урны, малые архитектурные формы, укладка асфальта 25 %.</w:t>
            </w:r>
          </w:p>
        </w:tc>
      </w:tr>
      <w:tr w:rsidR="00CC2817" w:rsidTr="008C7CED">
        <w:trPr>
          <w:trHeight w:val="636"/>
        </w:trPr>
        <w:tc>
          <w:tcPr>
            <w:tcW w:w="1541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AD1AF7">
            <w:pPr>
              <w:pStyle w:val="ad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ресторанов и услуг по доставке продуктов питания</w:t>
            </w:r>
          </w:p>
        </w:tc>
      </w:tr>
      <w:tr w:rsidR="00CC2817" w:rsidTr="008C7CED">
        <w:trPr>
          <w:trHeight w:val="899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CC2817">
            <w:pPr>
              <w:pStyle w:val="ad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AD1A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«Строительство комплекса объектов по обеспечению дорожного сервиса»</w:t>
            </w:r>
          </w:p>
          <w:p w:rsidR="00CC2817" w:rsidRDefault="00AD1A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проекта 192,64 млн. рублей.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AD1AF7">
            <w:r>
              <w:rPr>
                <w:rFonts w:ascii="Times New Roman" w:hAnsi="Times New Roman" w:cs="Times New Roman"/>
                <w:sz w:val="24"/>
                <w:szCs w:val="24"/>
              </w:rPr>
              <w:t>ИП Таранушенко Сергей Анатольевич</w:t>
            </w:r>
          </w:p>
        </w:tc>
        <w:tc>
          <w:tcPr>
            <w:tcW w:w="70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17" w:rsidRDefault="00AD1AF7" w:rsidP="00857318">
            <w:pPr>
              <w:spacing w:line="283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переводу земель завершены. Изменена категория земель. Начата подготовка градостроительного плана и получения разрешения на строительство.</w:t>
            </w:r>
            <w:r w:rsidR="0085731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разрешение на реконструкцию  нежилого здания  под здание мастерской  для ремонта и обслуживания автомобилей и под производственное здание.</w:t>
            </w:r>
          </w:p>
        </w:tc>
      </w:tr>
    </w:tbl>
    <w:p w:rsidR="00AD1AF7" w:rsidRDefault="00AD1AF7"/>
    <w:sectPr w:rsidR="00AD1AF7">
      <w:pgSz w:w="16838" w:h="11906" w:orient="landscape"/>
      <w:pgMar w:top="1701" w:right="992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Franklin Gothic Medium Cond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6E3"/>
    <w:multiLevelType w:val="hybridMultilevel"/>
    <w:tmpl w:val="709A1D30"/>
    <w:lvl w:ilvl="0" w:tplc="2938D0D2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6289B9E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5F229F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51854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C2077F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588343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208011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A10BC5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8E05E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99289E"/>
    <w:multiLevelType w:val="multilevel"/>
    <w:tmpl w:val="524A37CA"/>
    <w:lvl w:ilvl="0">
      <w:start w:val="1"/>
      <w:numFmt w:val="decimal"/>
      <w:lvlText w:val="%1."/>
      <w:lvlJc w:val="left"/>
      <w:pPr>
        <w:tabs>
          <w:tab w:val="num" w:pos="142"/>
        </w:tabs>
        <w:ind w:left="786" w:hanging="360"/>
      </w:pPr>
      <w:rPr>
        <w:b w:val="0"/>
      </w:rPr>
    </w:lvl>
    <w:lvl w:ilvl="1">
      <w:start w:val="1"/>
      <w:numFmt w:val="lowerLetter"/>
      <w:lvlText w:val="%1.%2."/>
      <w:lvlJc w:val="left"/>
      <w:pPr>
        <w:tabs>
          <w:tab w:val="num" w:pos="34"/>
        </w:tabs>
        <w:ind w:left="1114" w:hanging="360"/>
      </w:pPr>
    </w:lvl>
    <w:lvl w:ilvl="2">
      <w:start w:val="1"/>
      <w:numFmt w:val="lowerRoman"/>
      <w:lvlText w:val="%2.%3."/>
      <w:lvlJc w:val="right"/>
      <w:pPr>
        <w:tabs>
          <w:tab w:val="num" w:pos="34"/>
        </w:tabs>
        <w:ind w:left="1834" w:hanging="180"/>
      </w:pPr>
    </w:lvl>
    <w:lvl w:ilvl="3">
      <w:start w:val="1"/>
      <w:numFmt w:val="decimal"/>
      <w:lvlText w:val="%3.%4."/>
      <w:lvlJc w:val="left"/>
      <w:pPr>
        <w:tabs>
          <w:tab w:val="num" w:pos="34"/>
        </w:tabs>
        <w:ind w:left="2554" w:hanging="360"/>
      </w:pPr>
    </w:lvl>
    <w:lvl w:ilvl="4">
      <w:start w:val="1"/>
      <w:numFmt w:val="lowerLetter"/>
      <w:lvlText w:val="%4.%5."/>
      <w:lvlJc w:val="left"/>
      <w:pPr>
        <w:tabs>
          <w:tab w:val="num" w:pos="34"/>
        </w:tabs>
        <w:ind w:left="3274" w:hanging="360"/>
      </w:pPr>
    </w:lvl>
    <w:lvl w:ilvl="5">
      <w:start w:val="1"/>
      <w:numFmt w:val="lowerRoman"/>
      <w:lvlText w:val="%5.%6."/>
      <w:lvlJc w:val="right"/>
      <w:pPr>
        <w:tabs>
          <w:tab w:val="num" w:pos="34"/>
        </w:tabs>
        <w:ind w:left="3994" w:hanging="180"/>
      </w:pPr>
    </w:lvl>
    <w:lvl w:ilvl="6">
      <w:start w:val="1"/>
      <w:numFmt w:val="decimal"/>
      <w:lvlText w:val="%6.%7."/>
      <w:lvlJc w:val="left"/>
      <w:pPr>
        <w:tabs>
          <w:tab w:val="num" w:pos="34"/>
        </w:tabs>
        <w:ind w:left="4714" w:hanging="360"/>
      </w:pPr>
    </w:lvl>
    <w:lvl w:ilvl="7">
      <w:start w:val="1"/>
      <w:numFmt w:val="lowerLetter"/>
      <w:lvlText w:val="%7.%8."/>
      <w:lvlJc w:val="left"/>
      <w:pPr>
        <w:tabs>
          <w:tab w:val="num" w:pos="34"/>
        </w:tabs>
        <w:ind w:left="5434" w:hanging="360"/>
      </w:pPr>
    </w:lvl>
    <w:lvl w:ilvl="8">
      <w:start w:val="1"/>
      <w:numFmt w:val="lowerRoman"/>
      <w:lvlText w:val="%8.%9."/>
      <w:lvlJc w:val="right"/>
      <w:pPr>
        <w:tabs>
          <w:tab w:val="num" w:pos="34"/>
        </w:tabs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817"/>
    <w:rsid w:val="000C7AD6"/>
    <w:rsid w:val="002A209D"/>
    <w:rsid w:val="0041240E"/>
    <w:rsid w:val="00857318"/>
    <w:rsid w:val="008841C3"/>
    <w:rsid w:val="008C7CED"/>
    <w:rsid w:val="00950D40"/>
    <w:rsid w:val="00A238C4"/>
    <w:rsid w:val="00A30FBB"/>
    <w:rsid w:val="00AD1AF7"/>
    <w:rsid w:val="00B15A30"/>
    <w:rsid w:val="00B220E6"/>
    <w:rsid w:val="00CC2817"/>
    <w:rsid w:val="00D43580"/>
    <w:rsid w:val="00D55918"/>
    <w:rsid w:val="00E91628"/>
    <w:rsid w:val="00F5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A2E5"/>
  <w15:docId w15:val="{49F94ECE-52FD-41ED-ACF0-911F85D5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Normal"/>
    <w:pPr>
      <w:spacing w:after="200" w:line="276" w:lineRule="auto"/>
    </w:pPr>
    <w:rPr>
      <w:rFonts w:ascii="Calibri" w:eastAsia="SimSun" w:hAnsi="Calibri" w:cs="Arial"/>
      <w:sz w:val="22"/>
      <w:szCs w:val="22"/>
      <w:lang w:eastAsia="zh-CN"/>
    </w:rPr>
  </w:style>
  <w:style w:type="paragraph" w:styleId="1">
    <w:name w:val="heading 1"/>
    <w:basedOn w:val="a"/>
    <w:next w:val="a0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1"/>
    <w:next w:val="a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oSpacingChar">
    <w:name w:val="No Spacing Char"/>
    <w:rPr>
      <w:rFonts w:eastAsia="Times New Roman" w:cs="Times New Roman"/>
      <w:sz w:val="22"/>
      <w:szCs w:val="22"/>
      <w:lang w:val="ru-RU" w:bidi="ar-SA"/>
    </w:rPr>
  </w:style>
  <w:style w:type="character" w:customStyle="1" w:styleId="a5">
    <w:name w:val="Выделение жирным"/>
    <w:rPr>
      <w:b/>
      <w:bCs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Посещённая гиперссылка"/>
    <w:rPr>
      <w:color w:val="800080"/>
      <w:u w:val="single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rPr>
      <w:rFonts w:ascii="Arial" w:eastAsia="Arial" w:hAnsi="Arial" w:cs="Arial"/>
      <w:sz w:val="28"/>
      <w:szCs w:val="28"/>
      <w:lang w:eastAsia="ru-RU"/>
    </w:rPr>
  </w:style>
  <w:style w:type="paragraph" w:styleId="a1">
    <w:name w:val="Title"/>
    <w:basedOn w:val="a"/>
    <w:next w:val="a0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9">
    <w:name w:val="List"/>
    <w:basedOn w:val="a0"/>
    <w:rPr>
      <w:rFonts w:cs="Droid Sans Devanagari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Droid Sans Devanagari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ac">
    <w:name w:val="Заголовок указателя"/>
    <w:basedOn w:val="a"/>
    <w:pPr>
      <w:suppressLineNumbers/>
    </w:pPr>
    <w:rPr>
      <w:rFonts w:cs="Droid Sans Devanagari"/>
    </w:rPr>
  </w:style>
  <w:style w:type="paragraph" w:customStyle="1" w:styleId="NoSpacing1">
    <w:name w:val="No Spacing1"/>
    <w:rPr>
      <w:rFonts w:ascii="Calibri" w:hAnsi="Calibri"/>
      <w:sz w:val="22"/>
      <w:szCs w:val="22"/>
      <w:lang w:eastAsia="zh-CN"/>
    </w:rPr>
  </w:style>
  <w:style w:type="paragraph" w:styleId="ad">
    <w:name w:val="List Paragraph"/>
    <w:basedOn w:val="a"/>
    <w:pPr>
      <w:ind w:left="720"/>
      <w:contextualSpacing/>
    </w:pPr>
  </w:style>
  <w:style w:type="paragraph" w:styleId="a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pPr>
      <w:spacing w:before="280" w:after="1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Содержимое таблицы"/>
    <w:basedOn w:val="a"/>
    <w:pPr>
      <w:widowControl w:val="0"/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No Spacing"/>
    <w:rPr>
      <w:rFonts w:ascii="Calibri" w:eastAsia="Calibri" w:hAnsi="Calibri"/>
      <w:sz w:val="22"/>
      <w:szCs w:val="22"/>
      <w:lang w:eastAsia="zh-CN"/>
    </w:rPr>
  </w:style>
  <w:style w:type="paragraph" w:customStyle="1" w:styleId="10">
    <w:name w:val="Обычная таблица1"/>
    <w:pPr>
      <w:widowControl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Редькина Ирина Александровна</cp:lastModifiedBy>
  <cp:revision>143</cp:revision>
  <cp:lastPrinted>2024-07-18T10:31:00Z</cp:lastPrinted>
  <dcterms:created xsi:type="dcterms:W3CDTF">2022-01-14T13:21:00Z</dcterms:created>
  <dcterms:modified xsi:type="dcterms:W3CDTF">2024-07-18T10:34:00Z</dcterms:modified>
</cp:coreProperties>
</file>